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67A5D" w14:textId="77777777" w:rsidR="004D20C4" w:rsidRPr="00AB6E06" w:rsidRDefault="004D20C4" w:rsidP="00915362">
      <w:pPr>
        <w:spacing w:line="276" w:lineRule="auto"/>
        <w:jc w:val="both"/>
        <w:rPr>
          <w:rFonts w:ascii="Tahoma" w:hAnsi="Tahoma" w:cs="Tahoma"/>
          <w:sz w:val="22"/>
          <w:szCs w:val="22"/>
          <w:lang w:val="fr-FR"/>
        </w:rPr>
      </w:pPr>
      <w:bookmarkStart w:id="0" w:name="_GoBack"/>
      <w:bookmarkEnd w:id="0"/>
    </w:p>
    <w:p w14:paraId="72A524F8" w14:textId="72AE3EA7" w:rsidR="00915362" w:rsidRPr="00AB6E06" w:rsidRDefault="00915362" w:rsidP="00915362">
      <w:pPr>
        <w:spacing w:line="276" w:lineRule="auto"/>
        <w:jc w:val="both"/>
        <w:rPr>
          <w:rFonts w:ascii="Tahoma" w:hAnsi="Tahoma" w:cs="Tahoma"/>
          <w:b/>
          <w:bCs/>
          <w:sz w:val="22"/>
          <w:szCs w:val="22"/>
          <w:lang w:val="fr-FR"/>
        </w:rPr>
      </w:pPr>
      <w:r w:rsidRPr="00AB6E06">
        <w:rPr>
          <w:rFonts w:ascii="Tahoma" w:hAnsi="Tahoma" w:cs="Tahoma"/>
          <w:b/>
          <w:bCs/>
          <w:sz w:val="22"/>
          <w:szCs w:val="22"/>
          <w:lang w:val="fr-FR"/>
        </w:rPr>
        <w:t>Communiqué de presse</w:t>
      </w:r>
    </w:p>
    <w:p w14:paraId="44882DD0" w14:textId="77777777" w:rsidR="00915362" w:rsidRPr="00AB6E06" w:rsidRDefault="00915362" w:rsidP="00915362">
      <w:pPr>
        <w:spacing w:line="276" w:lineRule="auto"/>
        <w:jc w:val="both"/>
        <w:rPr>
          <w:rFonts w:ascii="Tahoma" w:hAnsi="Tahoma" w:cs="Tahoma"/>
          <w:bCs/>
          <w:sz w:val="22"/>
          <w:szCs w:val="22"/>
          <w:lang w:val="fr-FR"/>
        </w:rPr>
      </w:pPr>
    </w:p>
    <w:p w14:paraId="4FD54C0D" w14:textId="77777777" w:rsidR="00AB6E06" w:rsidRPr="00AB6E06" w:rsidRDefault="00B73C16" w:rsidP="00AB6E06">
      <w:pPr>
        <w:spacing w:line="276" w:lineRule="auto"/>
        <w:jc w:val="center"/>
        <w:rPr>
          <w:rFonts w:ascii="Tahoma" w:hAnsi="Tahoma" w:cs="Tahoma"/>
          <w:b/>
          <w:bCs/>
          <w:sz w:val="28"/>
          <w:szCs w:val="28"/>
          <w:lang w:val="fr-FR"/>
        </w:rPr>
      </w:pPr>
      <w:r w:rsidRPr="00AB6E06">
        <w:rPr>
          <w:rFonts w:ascii="Tahoma" w:hAnsi="Tahoma" w:cs="Tahoma"/>
          <w:b/>
          <w:bCs/>
          <w:sz w:val="28"/>
          <w:szCs w:val="28"/>
          <w:lang w:val="fr-FR"/>
        </w:rPr>
        <w:t>Chevaliers médiévaux, combats épiques, récits courtois</w:t>
      </w:r>
      <w:r w:rsidR="008C6B20" w:rsidRPr="00AB6E06">
        <w:rPr>
          <w:rFonts w:ascii="Tahoma" w:hAnsi="Tahoma" w:cs="Tahoma"/>
          <w:b/>
          <w:bCs/>
          <w:sz w:val="28"/>
          <w:szCs w:val="28"/>
          <w:lang w:val="fr-FR"/>
        </w:rPr>
        <w:t xml:space="preserve"> de l'Orient islamique et de l'Occident chrétien exposés côte à côte au Louvre Abu Dhabi</w:t>
      </w:r>
    </w:p>
    <w:p w14:paraId="00788A4B" w14:textId="77777777" w:rsidR="00AB6E06" w:rsidRPr="00AB6E06" w:rsidRDefault="00AB6E06" w:rsidP="00AB6E06">
      <w:pPr>
        <w:spacing w:line="276" w:lineRule="auto"/>
        <w:jc w:val="center"/>
        <w:rPr>
          <w:rFonts w:ascii="Tahoma" w:hAnsi="Tahoma" w:cs="Tahoma"/>
          <w:b/>
          <w:bCs/>
          <w:sz w:val="28"/>
          <w:szCs w:val="28"/>
          <w:lang w:val="fr-FR"/>
        </w:rPr>
      </w:pPr>
    </w:p>
    <w:p w14:paraId="1ED7505E" w14:textId="0CE8B109" w:rsidR="00915362" w:rsidRPr="00AB6E06" w:rsidRDefault="00915362" w:rsidP="00AB6E06">
      <w:pPr>
        <w:spacing w:line="276" w:lineRule="auto"/>
        <w:jc w:val="center"/>
        <w:rPr>
          <w:rFonts w:ascii="Tahoma" w:hAnsi="Tahoma" w:cs="Tahoma"/>
          <w:b/>
          <w:bCs/>
          <w:sz w:val="22"/>
          <w:szCs w:val="22"/>
          <w:lang w:val="fr-FR"/>
        </w:rPr>
      </w:pPr>
      <w:r w:rsidRPr="00AB6E06">
        <w:rPr>
          <w:rFonts w:ascii="Tahoma" w:hAnsi="Tahoma" w:cs="Tahoma"/>
          <w:b/>
          <w:bCs/>
          <w:sz w:val="22"/>
          <w:szCs w:val="22"/>
          <w:lang w:val="fr-FR"/>
        </w:rPr>
        <w:t xml:space="preserve">L’exposition </w:t>
      </w:r>
      <w:proofErr w:type="spellStart"/>
      <w:r w:rsidR="0043097F" w:rsidRPr="00AB6E06">
        <w:rPr>
          <w:rFonts w:ascii="Tahoma" w:hAnsi="Tahoma" w:cs="Tahoma"/>
          <w:b/>
          <w:bCs/>
          <w:i/>
          <w:iCs/>
          <w:sz w:val="22"/>
          <w:szCs w:val="22"/>
          <w:lang w:val="fr-FR"/>
        </w:rPr>
        <w:t>Furūsiyya</w:t>
      </w:r>
      <w:proofErr w:type="spellEnd"/>
      <w:r w:rsidRPr="00AB6E06">
        <w:rPr>
          <w:rFonts w:ascii="Tahoma" w:hAnsi="Tahoma" w:cs="Tahoma"/>
          <w:b/>
          <w:bCs/>
          <w:i/>
          <w:iCs/>
          <w:sz w:val="22"/>
          <w:szCs w:val="22"/>
          <w:lang w:val="fr-FR"/>
        </w:rPr>
        <w:t>: l’art de la chevalerie entre Orient et Occident</w:t>
      </w:r>
      <w:r w:rsidRPr="00AB6E06">
        <w:rPr>
          <w:rFonts w:ascii="Tahoma" w:hAnsi="Tahoma" w:cs="Tahoma"/>
          <w:b/>
          <w:bCs/>
          <w:sz w:val="22"/>
          <w:szCs w:val="22"/>
          <w:lang w:val="fr-FR"/>
        </w:rPr>
        <w:t>, présentée au Louvre Abu Dhabi du 19 février au 30 mai 2020, est la troisième exposition internationale de la saison culturelle</w:t>
      </w:r>
      <w:r w:rsidR="00337F99" w:rsidRPr="003A7D95">
        <w:rPr>
          <w:lang w:val="fr-FR"/>
        </w:rPr>
        <w:t xml:space="preserve"> </w:t>
      </w:r>
      <w:r w:rsidR="00337F99" w:rsidRPr="00337F99">
        <w:rPr>
          <w:rFonts w:ascii="Tahoma" w:hAnsi="Tahoma" w:cs="Tahoma"/>
          <w:b/>
          <w:bCs/>
          <w:i/>
          <w:iCs/>
          <w:sz w:val="22"/>
          <w:szCs w:val="22"/>
          <w:lang w:val="fr-FR"/>
        </w:rPr>
        <w:t>Sociétés en mutations</w:t>
      </w:r>
      <w:r w:rsidRPr="00AB6E06">
        <w:rPr>
          <w:rFonts w:ascii="Tahoma" w:hAnsi="Tahoma" w:cs="Tahoma"/>
          <w:b/>
          <w:bCs/>
          <w:i/>
          <w:iCs/>
          <w:sz w:val="22"/>
          <w:szCs w:val="22"/>
          <w:lang w:val="fr-FR"/>
        </w:rPr>
        <w:t>,</w:t>
      </w:r>
      <w:r w:rsidRPr="00AB6E06">
        <w:rPr>
          <w:rFonts w:ascii="Tahoma" w:hAnsi="Tahoma" w:cs="Tahoma"/>
          <w:b/>
          <w:bCs/>
          <w:sz w:val="22"/>
          <w:szCs w:val="22"/>
          <w:lang w:val="fr-FR"/>
        </w:rPr>
        <w:t xml:space="preserve"> 2019-2020.</w:t>
      </w:r>
    </w:p>
    <w:p w14:paraId="4532F9D8" w14:textId="64BA4E05" w:rsidR="00915362" w:rsidRDefault="00915362" w:rsidP="00915362">
      <w:pPr>
        <w:spacing w:line="276" w:lineRule="auto"/>
        <w:jc w:val="both"/>
        <w:rPr>
          <w:rFonts w:ascii="Tahoma" w:hAnsi="Tahoma" w:cs="Tahoma"/>
          <w:b/>
          <w:bCs/>
          <w:lang w:val="fr-FR"/>
        </w:rPr>
      </w:pPr>
    </w:p>
    <w:p w14:paraId="7845037D" w14:textId="700B2A89" w:rsidR="00AB6E06" w:rsidRDefault="00AB6E06" w:rsidP="00AB6E06">
      <w:pPr>
        <w:spacing w:line="276" w:lineRule="auto"/>
        <w:jc w:val="center"/>
        <w:rPr>
          <w:rFonts w:ascii="Tahoma" w:hAnsi="Tahoma" w:cs="Tahoma"/>
          <w:b/>
          <w:bCs/>
          <w:lang w:val="fr-FR"/>
        </w:rPr>
      </w:pPr>
      <w:r>
        <w:rPr>
          <w:rFonts w:ascii="Tahoma" w:hAnsi="Tahoma" w:cs="Tahoma"/>
          <w:b/>
          <w:bCs/>
          <w:iCs/>
          <w:noProof/>
          <w:sz w:val="22"/>
          <w:szCs w:val="22"/>
          <w:lang w:val="fr-FR" w:eastAsia="fr-FR"/>
        </w:rPr>
        <w:drawing>
          <wp:inline distT="0" distB="0" distL="0" distR="0" wp14:anchorId="55F55748" wp14:editId="0CD6D94F">
            <wp:extent cx="1701800" cy="1911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Department of Culture and Tourism – Abu Dhabi  Photo  Thierry Ollivi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1800" cy="1911350"/>
                    </a:xfrm>
                    <a:prstGeom prst="rect">
                      <a:avLst/>
                    </a:prstGeom>
                  </pic:spPr>
                </pic:pic>
              </a:graphicData>
            </a:graphic>
          </wp:inline>
        </w:drawing>
      </w:r>
      <w:r>
        <w:rPr>
          <w:rFonts w:ascii="Tahoma" w:hAnsi="Tahoma" w:cs="Tahoma"/>
          <w:b/>
          <w:bCs/>
          <w:iCs/>
          <w:noProof/>
          <w:sz w:val="22"/>
          <w:szCs w:val="22"/>
          <w:lang w:val="fr-FR" w:eastAsia="fr-FR"/>
        </w:rPr>
        <w:drawing>
          <wp:inline distT="0" distB="0" distL="0" distR="0" wp14:anchorId="3BABD0A7" wp14:editId="497078D3">
            <wp:extent cx="1719580" cy="1910782"/>
            <wp:effectExtent l="0" t="0" r="0" b="0"/>
            <wp:docPr id="4" name="Picture 4" descr="A person wearing a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 (C) RMN-Grand Palais (musée de Cluny - musée national du Moyen-Âge)  Jean-Gilles Berizz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9580" cy="1910782"/>
                    </a:xfrm>
                    <a:prstGeom prst="rect">
                      <a:avLst/>
                    </a:prstGeom>
                  </pic:spPr>
                </pic:pic>
              </a:graphicData>
            </a:graphic>
          </wp:inline>
        </w:drawing>
      </w:r>
    </w:p>
    <w:p w14:paraId="36204D0B" w14:textId="2D270C4E" w:rsidR="00AB6E06" w:rsidRDefault="00AB6E06" w:rsidP="00AB6E06">
      <w:pPr>
        <w:spacing w:line="276" w:lineRule="auto"/>
        <w:jc w:val="center"/>
        <w:rPr>
          <w:rFonts w:ascii="Tahoma" w:hAnsi="Tahoma" w:cs="Tahoma"/>
          <w:b/>
          <w:bCs/>
          <w:lang w:val="fr-FR"/>
        </w:rPr>
      </w:pPr>
      <w:r w:rsidRPr="00A01940">
        <w:rPr>
          <w:rFonts w:ascii="Tahoma" w:hAnsi="Tahoma" w:cs="Tahoma"/>
          <w:b/>
          <w:bCs/>
          <w:iCs/>
          <w:noProof/>
          <w:sz w:val="22"/>
          <w:szCs w:val="22"/>
          <w:lang w:val="fr-FR" w:eastAsia="fr-FR"/>
        </w:rPr>
        <mc:AlternateContent>
          <mc:Choice Requires="wps">
            <w:drawing>
              <wp:inline distT="0" distB="0" distL="0" distR="0" wp14:anchorId="4E0FCC66" wp14:editId="5B2B22EC">
                <wp:extent cx="1657350" cy="1276350"/>
                <wp:effectExtent l="0" t="0"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276350"/>
                        </a:xfrm>
                        <a:prstGeom prst="rect">
                          <a:avLst/>
                        </a:prstGeom>
                        <a:noFill/>
                        <a:ln w="9525">
                          <a:noFill/>
                          <a:miter lim="800000"/>
                          <a:headEnd/>
                          <a:tailEnd/>
                        </a:ln>
                      </wps:spPr>
                      <wps:txbx>
                        <w:txbxContent>
                          <w:p w14:paraId="64DFBB86" w14:textId="77777777" w:rsidR="00AB6E06" w:rsidRPr="00AB6E06" w:rsidRDefault="00AB6E06" w:rsidP="00AB6E06">
                            <w:pPr>
                              <w:spacing w:after="0" w:line="276" w:lineRule="auto"/>
                              <w:rPr>
                                <w:rFonts w:ascii="Frutiger LT Pro 45 Light" w:hAnsi="Frutiger LT Pro 45 Light" w:cs="Calibri"/>
                                <w:b/>
                                <w:bCs/>
                                <w:sz w:val="14"/>
                                <w:szCs w:val="14"/>
                                <w:lang w:val="fr-FR"/>
                              </w:rPr>
                            </w:pPr>
                            <w:r w:rsidRPr="00AB6E06">
                              <w:rPr>
                                <w:rFonts w:ascii="Frutiger LT Pro 45 Light" w:hAnsi="Frutiger LT Pro 45 Light" w:cs="Calibri"/>
                                <w:b/>
                                <w:bCs/>
                                <w:sz w:val="14"/>
                                <w:szCs w:val="14"/>
                                <w:lang w:val="fr-FR"/>
                              </w:rPr>
                              <w:t xml:space="preserve">Casque </w:t>
                            </w:r>
                          </w:p>
                          <w:p w14:paraId="7629F81E" w14:textId="77777777" w:rsidR="00AB6E06" w:rsidRPr="00AB6E06" w:rsidRDefault="00AB6E06" w:rsidP="00AB6E06">
                            <w:pPr>
                              <w:spacing w:after="0" w:line="276" w:lineRule="auto"/>
                              <w:rPr>
                                <w:rFonts w:ascii="Frutiger LT Pro 45 Light" w:hAnsi="Frutiger LT Pro 45 Light" w:cs="Calibri"/>
                                <w:sz w:val="14"/>
                                <w:szCs w:val="14"/>
                                <w:lang w:val="fr-FR"/>
                              </w:rPr>
                            </w:pPr>
                            <w:r w:rsidRPr="00AB6E06">
                              <w:rPr>
                                <w:rFonts w:ascii="Frutiger LT Pro 45 Light" w:hAnsi="Frutiger LT Pro 45 Light" w:cs="Calibri"/>
                                <w:sz w:val="14"/>
                                <w:szCs w:val="14"/>
                                <w:lang w:val="fr-FR"/>
                              </w:rPr>
                              <w:t>Irak, Turquie ou Caucase, vers 1450-1500</w:t>
                            </w:r>
                          </w:p>
                          <w:p w14:paraId="43207B14" w14:textId="77777777" w:rsidR="00AB6E06" w:rsidRPr="00AB6E06" w:rsidRDefault="00AB6E06" w:rsidP="00AB6E06">
                            <w:pPr>
                              <w:spacing w:after="0" w:line="276" w:lineRule="auto"/>
                              <w:rPr>
                                <w:rFonts w:ascii="Frutiger LT Pro 45 Light" w:hAnsi="Frutiger LT Pro 45 Light" w:cs="Calibri"/>
                                <w:sz w:val="14"/>
                                <w:szCs w:val="14"/>
                                <w:lang w:val="fr-FR"/>
                              </w:rPr>
                            </w:pPr>
                            <w:r w:rsidRPr="00AB6E06">
                              <w:rPr>
                                <w:rFonts w:ascii="Frutiger LT Pro 45 Light" w:hAnsi="Frutiger LT Pro 45 Light" w:cs="Calibri"/>
                                <w:sz w:val="14"/>
                                <w:szCs w:val="14"/>
                                <w:lang w:val="fr-FR"/>
                              </w:rPr>
                              <w:t>Acier damasquiné d’argent et traces d’or, fer</w:t>
                            </w:r>
                          </w:p>
                          <w:p w14:paraId="501E828F" w14:textId="77777777" w:rsidR="00AB6E06" w:rsidRPr="00AB6E06" w:rsidRDefault="00AB6E06" w:rsidP="00AB6E06">
                            <w:pPr>
                              <w:spacing w:after="0" w:line="276" w:lineRule="auto"/>
                              <w:rPr>
                                <w:rFonts w:ascii="Frutiger LT Pro 45 Light" w:hAnsi="Frutiger LT Pro 45 Light" w:cs="Calibri"/>
                                <w:sz w:val="14"/>
                                <w:szCs w:val="14"/>
                                <w:lang w:val="fr-FR"/>
                              </w:rPr>
                            </w:pPr>
                            <w:r w:rsidRPr="00AB6E06">
                              <w:rPr>
                                <w:rFonts w:ascii="Frutiger LT Pro 45 Light" w:hAnsi="Frutiger LT Pro 45 Light" w:cs="Calibri"/>
                                <w:sz w:val="14"/>
                                <w:szCs w:val="14"/>
                                <w:lang w:val="fr-FR"/>
                              </w:rPr>
                              <w:t>Louvre Abu Dhabi, inv. LAD 2015.016</w:t>
                            </w:r>
                          </w:p>
                          <w:p w14:paraId="3D838F0D" w14:textId="77777777" w:rsidR="00AB6E06" w:rsidRPr="00AB6E06" w:rsidRDefault="00AB6E06" w:rsidP="00AB6E06">
                            <w:pPr>
                              <w:spacing w:after="0" w:line="276" w:lineRule="auto"/>
                              <w:rPr>
                                <w:rFonts w:ascii="Frutiger LT Pro 45 Light" w:hAnsi="Frutiger LT Pro 45 Light" w:cs="Calibri"/>
                                <w:sz w:val="14"/>
                                <w:szCs w:val="14"/>
                                <w:lang w:val="fr-FR"/>
                              </w:rPr>
                            </w:pPr>
                          </w:p>
                          <w:p w14:paraId="7B13BD29" w14:textId="77777777" w:rsidR="00AB6E06" w:rsidRPr="00AB6E06" w:rsidRDefault="00AB6E06" w:rsidP="00AB6E06">
                            <w:pPr>
                              <w:spacing w:line="276" w:lineRule="auto"/>
                              <w:rPr>
                                <w:rFonts w:ascii="Frutiger LT Pro 45 Light" w:hAnsi="Frutiger LT Pro 45 Light" w:cs="Calibri"/>
                                <w:sz w:val="14"/>
                                <w:szCs w:val="14"/>
                              </w:rPr>
                            </w:pPr>
                            <w:r w:rsidRPr="00AB6E06">
                              <w:rPr>
                                <w:rFonts w:ascii="Frutiger LT Pro 45 Light" w:hAnsi="Frutiger LT Pro 45 Light" w:cs="Calibri"/>
                                <w:sz w:val="14"/>
                                <w:szCs w:val="14"/>
                              </w:rPr>
                              <w:t xml:space="preserve">© Department of Culture and Tourism – Abu Dhabi / Photo : Thierry </w:t>
                            </w:r>
                            <w:proofErr w:type="spellStart"/>
                            <w:r w:rsidRPr="00AB6E06">
                              <w:rPr>
                                <w:rFonts w:ascii="Frutiger LT Pro 45 Light" w:hAnsi="Frutiger LT Pro 45 Light" w:cs="Calibri"/>
                                <w:sz w:val="14"/>
                                <w:szCs w:val="14"/>
                              </w:rPr>
                              <w:t>Ollivier</w:t>
                            </w:r>
                            <w:proofErr w:type="spellEnd"/>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0FCC66" id="_x0000_t202" coordsize="21600,21600" o:spt="202" path="m,l,21600r21600,l21600,xe">
                <v:stroke joinstyle="miter"/>
                <v:path gradientshapeok="t" o:connecttype="rect"/>
              </v:shapetype>
              <v:shape id="Text Box 2" o:spid="_x0000_s1026" type="#_x0000_t202" style="width:130.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" filled="f" stroked="f">
                <v:textbox>
                  <w:txbxContent>
                    <w:p w14:paraId="64DFBB86" w14:textId="77777777" w:rsidR="00AB6E06" w:rsidRPr="00AB6E06" w:rsidRDefault="00AB6E06" w:rsidP="00AB6E06">
                      <w:pPr>
                        <w:spacing w:after="0" w:line="276" w:lineRule="auto"/>
                        <w:rPr>
                          <w:rFonts w:ascii="Frutiger LT Pro 45 Light" w:hAnsi="Frutiger LT Pro 45 Light" w:cs="Calibri"/>
                          <w:b/>
                          <w:bCs/>
                          <w:sz w:val="14"/>
                          <w:szCs w:val="14"/>
                          <w:lang w:val="fr-FR"/>
                        </w:rPr>
                      </w:pPr>
                      <w:r w:rsidRPr="00AB6E06">
                        <w:rPr>
                          <w:rFonts w:ascii="Frutiger LT Pro 45 Light" w:hAnsi="Frutiger LT Pro 45 Light" w:cs="Calibri"/>
                          <w:b/>
                          <w:bCs/>
                          <w:sz w:val="14"/>
                          <w:szCs w:val="14"/>
                          <w:lang w:val="fr-FR"/>
                        </w:rPr>
                        <w:t xml:space="preserve">Casque </w:t>
                      </w:r>
                    </w:p>
                    <w:p w14:paraId="7629F81E" w14:textId="77777777" w:rsidR="00AB6E06" w:rsidRPr="00AB6E06" w:rsidRDefault="00AB6E06" w:rsidP="00AB6E06">
                      <w:pPr>
                        <w:spacing w:after="0" w:line="276" w:lineRule="auto"/>
                        <w:rPr>
                          <w:rFonts w:ascii="Frutiger LT Pro 45 Light" w:hAnsi="Frutiger LT Pro 45 Light" w:cs="Calibri"/>
                          <w:sz w:val="14"/>
                          <w:szCs w:val="14"/>
                          <w:lang w:val="fr-FR"/>
                        </w:rPr>
                      </w:pPr>
                      <w:r w:rsidRPr="00AB6E06">
                        <w:rPr>
                          <w:rFonts w:ascii="Frutiger LT Pro 45 Light" w:hAnsi="Frutiger LT Pro 45 Light" w:cs="Calibri"/>
                          <w:sz w:val="14"/>
                          <w:szCs w:val="14"/>
                          <w:lang w:val="fr-FR"/>
                        </w:rPr>
                        <w:t>Irak, Turquie ou Caucase, vers 1450-1500</w:t>
                      </w:r>
                    </w:p>
                    <w:p w14:paraId="43207B14" w14:textId="77777777" w:rsidR="00AB6E06" w:rsidRPr="00AB6E06" w:rsidRDefault="00AB6E06" w:rsidP="00AB6E06">
                      <w:pPr>
                        <w:spacing w:after="0" w:line="276" w:lineRule="auto"/>
                        <w:rPr>
                          <w:rFonts w:ascii="Frutiger LT Pro 45 Light" w:hAnsi="Frutiger LT Pro 45 Light" w:cs="Calibri"/>
                          <w:sz w:val="14"/>
                          <w:szCs w:val="14"/>
                          <w:lang w:val="fr-FR"/>
                        </w:rPr>
                      </w:pPr>
                      <w:r w:rsidRPr="00AB6E06">
                        <w:rPr>
                          <w:rFonts w:ascii="Frutiger LT Pro 45 Light" w:hAnsi="Frutiger LT Pro 45 Light" w:cs="Calibri"/>
                          <w:sz w:val="14"/>
                          <w:szCs w:val="14"/>
                          <w:lang w:val="fr-FR"/>
                        </w:rPr>
                        <w:t>Acier damasquiné d’argent et traces d’or, fer</w:t>
                      </w:r>
                    </w:p>
                    <w:p w14:paraId="501E828F" w14:textId="77777777" w:rsidR="00AB6E06" w:rsidRPr="00AB6E06" w:rsidRDefault="00AB6E06" w:rsidP="00AB6E06">
                      <w:pPr>
                        <w:spacing w:after="0" w:line="276" w:lineRule="auto"/>
                        <w:rPr>
                          <w:rFonts w:ascii="Frutiger LT Pro 45 Light" w:hAnsi="Frutiger LT Pro 45 Light" w:cs="Calibri"/>
                          <w:sz w:val="14"/>
                          <w:szCs w:val="14"/>
                          <w:lang w:val="fr-FR"/>
                        </w:rPr>
                      </w:pPr>
                      <w:r w:rsidRPr="00AB6E06">
                        <w:rPr>
                          <w:rFonts w:ascii="Frutiger LT Pro 45 Light" w:hAnsi="Frutiger LT Pro 45 Light" w:cs="Calibri"/>
                          <w:sz w:val="14"/>
                          <w:szCs w:val="14"/>
                          <w:lang w:val="fr-FR"/>
                        </w:rPr>
                        <w:t>Louvre Abu Dhabi, inv. LAD 2015.016</w:t>
                      </w:r>
                    </w:p>
                    <w:p w14:paraId="3D838F0D" w14:textId="77777777" w:rsidR="00AB6E06" w:rsidRPr="00AB6E06" w:rsidRDefault="00AB6E06" w:rsidP="00AB6E06">
                      <w:pPr>
                        <w:spacing w:after="0" w:line="276" w:lineRule="auto"/>
                        <w:rPr>
                          <w:rFonts w:ascii="Frutiger LT Pro 45 Light" w:hAnsi="Frutiger LT Pro 45 Light" w:cs="Calibri"/>
                          <w:sz w:val="14"/>
                          <w:szCs w:val="14"/>
                          <w:lang w:val="fr-FR"/>
                        </w:rPr>
                      </w:pPr>
                    </w:p>
                    <w:p w14:paraId="7B13BD29" w14:textId="77777777" w:rsidR="00AB6E06" w:rsidRPr="00AB6E06" w:rsidRDefault="00AB6E06" w:rsidP="00AB6E06">
                      <w:pPr>
                        <w:spacing w:line="276" w:lineRule="auto"/>
                        <w:rPr>
                          <w:rFonts w:ascii="Frutiger LT Pro 45 Light" w:hAnsi="Frutiger LT Pro 45 Light" w:cs="Calibri"/>
                          <w:sz w:val="14"/>
                          <w:szCs w:val="14"/>
                        </w:rPr>
                      </w:pPr>
                      <w:r w:rsidRPr="00AB6E06">
                        <w:rPr>
                          <w:rFonts w:ascii="Frutiger LT Pro 45 Light" w:hAnsi="Frutiger LT Pro 45 Light" w:cs="Calibri"/>
                          <w:sz w:val="14"/>
                          <w:szCs w:val="14"/>
                        </w:rPr>
                        <w:t xml:space="preserve">© Department of Culture and Tourism – Abu Dhabi / Photo : Thierry </w:t>
                      </w:r>
                      <w:proofErr w:type="spellStart"/>
                      <w:r w:rsidRPr="00AB6E06">
                        <w:rPr>
                          <w:rFonts w:ascii="Frutiger LT Pro 45 Light" w:hAnsi="Frutiger LT Pro 45 Light" w:cs="Calibri"/>
                          <w:sz w:val="14"/>
                          <w:szCs w:val="14"/>
                        </w:rPr>
                        <w:t>Ollivier</w:t>
                      </w:r>
                      <w:proofErr w:type="spellEnd"/>
                    </w:p>
                  </w:txbxContent>
                </v:textbox>
                <w10:anchorlock/>
              </v:shape>
            </w:pict>
          </mc:Fallback>
        </mc:AlternateContent>
      </w:r>
      <w:r w:rsidRPr="00A01940">
        <w:rPr>
          <w:rFonts w:ascii="Tahoma" w:hAnsi="Tahoma" w:cs="Tahoma"/>
          <w:b/>
          <w:bCs/>
          <w:iCs/>
          <w:noProof/>
          <w:sz w:val="22"/>
          <w:szCs w:val="22"/>
          <w:lang w:val="fr-FR" w:eastAsia="fr-FR"/>
        </w:rPr>
        <mc:AlternateContent>
          <mc:Choice Requires="wps">
            <w:drawing>
              <wp:inline distT="0" distB="0" distL="0" distR="0" wp14:anchorId="7C65066E" wp14:editId="6BBE3EE6">
                <wp:extent cx="1657350" cy="1247775"/>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247775"/>
                        </a:xfrm>
                        <a:prstGeom prst="rect">
                          <a:avLst/>
                        </a:prstGeom>
                        <a:noFill/>
                        <a:ln w="9525">
                          <a:noFill/>
                          <a:miter lim="800000"/>
                          <a:headEnd/>
                          <a:tailEnd/>
                        </a:ln>
                      </wps:spPr>
                      <wps:txbx>
                        <w:txbxContent>
                          <w:p w14:paraId="25098810" w14:textId="77777777" w:rsidR="00AB6E06" w:rsidRPr="00AB6E06" w:rsidRDefault="00AB6E06" w:rsidP="00AB6E06">
                            <w:pPr>
                              <w:spacing w:line="276" w:lineRule="auto"/>
                              <w:contextualSpacing/>
                              <w:rPr>
                                <w:rFonts w:ascii="Tahoma" w:hAnsi="Tahoma" w:cs="Tahoma"/>
                                <w:b/>
                                <w:bCs/>
                                <w:sz w:val="12"/>
                                <w:szCs w:val="12"/>
                              </w:rPr>
                            </w:pPr>
                            <w:r w:rsidRPr="00AB6E06">
                              <w:rPr>
                                <w:rFonts w:ascii="Tahoma" w:hAnsi="Tahoma" w:cs="Tahoma"/>
                                <w:b/>
                                <w:bCs/>
                                <w:sz w:val="12"/>
                                <w:szCs w:val="12"/>
                              </w:rPr>
                              <w:t>Helmet</w:t>
                            </w:r>
                          </w:p>
                          <w:p w14:paraId="79B598E3" w14:textId="77777777" w:rsidR="00AB6E06" w:rsidRPr="00AB6E06" w:rsidRDefault="00AB6E06" w:rsidP="00AB6E06">
                            <w:pPr>
                              <w:spacing w:line="276" w:lineRule="auto"/>
                              <w:contextualSpacing/>
                              <w:rPr>
                                <w:rFonts w:ascii="Tahoma" w:hAnsi="Tahoma" w:cs="Tahoma"/>
                                <w:sz w:val="12"/>
                                <w:szCs w:val="12"/>
                              </w:rPr>
                            </w:pPr>
                            <w:r w:rsidRPr="00AB6E06">
                              <w:rPr>
                                <w:rFonts w:ascii="Tahoma" w:hAnsi="Tahoma" w:cs="Tahoma"/>
                                <w:sz w:val="12"/>
                                <w:szCs w:val="12"/>
                              </w:rPr>
                              <w:t>Iraq, Turkey or Caucasus, c. 1450–1500</w:t>
                            </w:r>
                          </w:p>
                          <w:p w14:paraId="46B73CD1" w14:textId="77777777" w:rsidR="00AB6E06" w:rsidRPr="00AB6E06" w:rsidRDefault="00AB6E06" w:rsidP="00AB6E06">
                            <w:pPr>
                              <w:spacing w:line="276" w:lineRule="auto"/>
                              <w:rPr>
                                <w:rFonts w:ascii="Tahoma" w:eastAsia="Times New Roman" w:hAnsi="Tahoma" w:cs="Tahoma"/>
                                <w:sz w:val="12"/>
                                <w:szCs w:val="12"/>
                              </w:rPr>
                            </w:pPr>
                            <w:r w:rsidRPr="00AB6E06">
                              <w:rPr>
                                <w:rFonts w:ascii="Tahoma" w:eastAsia="Times New Roman" w:hAnsi="Tahoma" w:cs="Tahoma"/>
                                <w:sz w:val="12"/>
                                <w:szCs w:val="12"/>
                              </w:rPr>
                              <w:t>Steel damascened with silver and traces of gold, iron</w:t>
                            </w:r>
                          </w:p>
                          <w:p w14:paraId="7EA4FD9B" w14:textId="77777777" w:rsidR="00AB6E06" w:rsidRPr="00AB6E06" w:rsidRDefault="00AB6E06" w:rsidP="00AB6E06">
                            <w:pPr>
                              <w:rPr>
                                <w:rFonts w:ascii="Tahoma" w:eastAsia="Times New Roman" w:hAnsi="Tahoma" w:cs="Tahoma"/>
                                <w:sz w:val="12"/>
                                <w:szCs w:val="12"/>
                              </w:rPr>
                            </w:pPr>
                            <w:r w:rsidRPr="00AB6E06">
                              <w:rPr>
                                <w:rFonts w:ascii="Tahoma" w:eastAsia="Times New Roman" w:hAnsi="Tahoma" w:cs="Tahoma"/>
                                <w:sz w:val="12"/>
                                <w:szCs w:val="12"/>
                              </w:rPr>
                              <w:t>Abu Dhabi, Louvre Abu Dhabi</w:t>
                            </w:r>
                          </w:p>
                          <w:p w14:paraId="1AA221CA" w14:textId="77777777" w:rsidR="00AB6E06" w:rsidRPr="00AB6E06" w:rsidRDefault="00AB6E06" w:rsidP="00AB6E06">
                            <w:pPr>
                              <w:rPr>
                                <w:rFonts w:ascii="Tahoma" w:eastAsia="Times New Roman" w:hAnsi="Tahoma" w:cs="Tahoma"/>
                                <w:sz w:val="12"/>
                                <w:szCs w:val="12"/>
                              </w:rPr>
                            </w:pPr>
                          </w:p>
                          <w:p w14:paraId="2434107F" w14:textId="7C7FE3D4" w:rsidR="00AB6E06" w:rsidRPr="00AB6E06" w:rsidRDefault="00AB6E06" w:rsidP="00AB6E06">
                            <w:pPr>
                              <w:spacing w:line="276" w:lineRule="auto"/>
                              <w:rPr>
                                <w:rFonts w:ascii="Tahoma" w:hAnsi="Tahoma" w:cs="Tahoma"/>
                                <w:sz w:val="12"/>
                                <w:szCs w:val="12"/>
                              </w:rPr>
                            </w:pPr>
                            <w:r w:rsidRPr="00AB6E06">
                              <w:rPr>
                                <w:rFonts w:ascii="Tahoma" w:hAnsi="Tahoma" w:cs="Tahoma"/>
                                <w:sz w:val="12"/>
                                <w:szCs w:val="12"/>
                              </w:rPr>
                              <w:t xml:space="preserve">© Department of Culture and Tourism – Abu Dhabi / Photo : Thierry </w:t>
                            </w:r>
                            <w:proofErr w:type="spellStart"/>
                            <w:r w:rsidRPr="00AB6E06">
                              <w:rPr>
                                <w:rFonts w:ascii="Tahoma" w:hAnsi="Tahoma" w:cs="Tahoma"/>
                                <w:sz w:val="12"/>
                                <w:szCs w:val="12"/>
                              </w:rPr>
                              <w:t>Ollivier</w:t>
                            </w:r>
                            <w:proofErr w:type="spellEnd"/>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65066E" id="_x0000_s1027" type="#_x0000_t202" style="width:130.5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" filled="f" stroked="f">
                <v:textbox>
                  <w:txbxContent>
                    <w:p w14:paraId="25098810" w14:textId="77777777" w:rsidR="00AB6E06" w:rsidRPr="00AB6E06" w:rsidRDefault="00AB6E06" w:rsidP="00AB6E06">
                      <w:pPr>
                        <w:spacing w:line="276" w:lineRule="auto"/>
                        <w:contextualSpacing/>
                        <w:rPr>
                          <w:rFonts w:ascii="Tahoma" w:hAnsi="Tahoma" w:cs="Tahoma"/>
                          <w:b/>
                          <w:bCs/>
                          <w:sz w:val="12"/>
                          <w:szCs w:val="12"/>
                        </w:rPr>
                      </w:pPr>
                      <w:r w:rsidRPr="00AB6E06">
                        <w:rPr>
                          <w:rFonts w:ascii="Tahoma" w:hAnsi="Tahoma" w:cs="Tahoma"/>
                          <w:b/>
                          <w:bCs/>
                          <w:sz w:val="12"/>
                          <w:szCs w:val="12"/>
                        </w:rPr>
                        <w:t>Helmet</w:t>
                      </w:r>
                    </w:p>
                    <w:p w14:paraId="79B598E3" w14:textId="77777777" w:rsidR="00AB6E06" w:rsidRPr="00AB6E06" w:rsidRDefault="00AB6E06" w:rsidP="00AB6E06">
                      <w:pPr>
                        <w:spacing w:line="276" w:lineRule="auto"/>
                        <w:contextualSpacing/>
                        <w:rPr>
                          <w:rFonts w:ascii="Tahoma" w:hAnsi="Tahoma" w:cs="Tahoma"/>
                          <w:sz w:val="12"/>
                          <w:szCs w:val="12"/>
                        </w:rPr>
                      </w:pPr>
                      <w:r w:rsidRPr="00AB6E06">
                        <w:rPr>
                          <w:rFonts w:ascii="Tahoma" w:hAnsi="Tahoma" w:cs="Tahoma"/>
                          <w:sz w:val="12"/>
                          <w:szCs w:val="12"/>
                        </w:rPr>
                        <w:t>Iraq, Turkey or Caucasus, c. 1450–1500</w:t>
                      </w:r>
                    </w:p>
                    <w:p w14:paraId="46B73CD1" w14:textId="77777777" w:rsidR="00AB6E06" w:rsidRPr="00AB6E06" w:rsidRDefault="00AB6E06" w:rsidP="00AB6E06">
                      <w:pPr>
                        <w:spacing w:line="276" w:lineRule="auto"/>
                        <w:rPr>
                          <w:rFonts w:ascii="Tahoma" w:eastAsia="Times New Roman" w:hAnsi="Tahoma" w:cs="Tahoma"/>
                          <w:sz w:val="12"/>
                          <w:szCs w:val="12"/>
                        </w:rPr>
                      </w:pPr>
                      <w:r w:rsidRPr="00AB6E06">
                        <w:rPr>
                          <w:rFonts w:ascii="Tahoma" w:eastAsia="Times New Roman" w:hAnsi="Tahoma" w:cs="Tahoma"/>
                          <w:sz w:val="12"/>
                          <w:szCs w:val="12"/>
                        </w:rPr>
                        <w:t>Steel damascened with silver and traces of gold, iron</w:t>
                      </w:r>
                    </w:p>
                    <w:p w14:paraId="7EA4FD9B" w14:textId="77777777" w:rsidR="00AB6E06" w:rsidRPr="00AB6E06" w:rsidRDefault="00AB6E06" w:rsidP="00AB6E06">
                      <w:pPr>
                        <w:rPr>
                          <w:rFonts w:ascii="Tahoma" w:eastAsia="Times New Roman" w:hAnsi="Tahoma" w:cs="Tahoma"/>
                          <w:sz w:val="12"/>
                          <w:szCs w:val="12"/>
                        </w:rPr>
                      </w:pPr>
                      <w:r w:rsidRPr="00AB6E06">
                        <w:rPr>
                          <w:rFonts w:ascii="Tahoma" w:eastAsia="Times New Roman" w:hAnsi="Tahoma" w:cs="Tahoma"/>
                          <w:sz w:val="12"/>
                          <w:szCs w:val="12"/>
                        </w:rPr>
                        <w:t>Abu Dhabi, Louvre Abu Dhabi</w:t>
                      </w:r>
                    </w:p>
                    <w:p w14:paraId="1AA221CA" w14:textId="77777777" w:rsidR="00AB6E06" w:rsidRPr="00AB6E06" w:rsidRDefault="00AB6E06" w:rsidP="00AB6E06">
                      <w:pPr>
                        <w:rPr>
                          <w:rFonts w:ascii="Tahoma" w:eastAsia="Times New Roman" w:hAnsi="Tahoma" w:cs="Tahoma"/>
                          <w:sz w:val="12"/>
                          <w:szCs w:val="12"/>
                        </w:rPr>
                      </w:pPr>
                    </w:p>
                    <w:p w14:paraId="2434107F" w14:textId="7C7FE3D4" w:rsidR="00AB6E06" w:rsidRPr="00AB6E06" w:rsidRDefault="00AB6E06" w:rsidP="00AB6E06">
                      <w:pPr>
                        <w:spacing w:line="276" w:lineRule="auto"/>
                        <w:rPr>
                          <w:rFonts w:ascii="Tahoma" w:hAnsi="Tahoma" w:cs="Tahoma"/>
                          <w:sz w:val="12"/>
                          <w:szCs w:val="12"/>
                        </w:rPr>
                      </w:pPr>
                      <w:r w:rsidRPr="00AB6E06">
                        <w:rPr>
                          <w:rFonts w:ascii="Tahoma" w:hAnsi="Tahoma" w:cs="Tahoma"/>
                          <w:sz w:val="12"/>
                          <w:szCs w:val="12"/>
                        </w:rPr>
                        <w:t xml:space="preserve">© Department of Culture and Tourism – Abu Dhabi / Photo : Thierry </w:t>
                      </w:r>
                      <w:proofErr w:type="spellStart"/>
                      <w:r w:rsidRPr="00AB6E06">
                        <w:rPr>
                          <w:rFonts w:ascii="Tahoma" w:hAnsi="Tahoma" w:cs="Tahoma"/>
                          <w:sz w:val="12"/>
                          <w:szCs w:val="12"/>
                        </w:rPr>
                        <w:t>Ollivier</w:t>
                      </w:r>
                      <w:proofErr w:type="spellEnd"/>
                    </w:p>
                  </w:txbxContent>
                </v:textbox>
                <w10:anchorlock/>
              </v:shape>
            </w:pict>
          </mc:Fallback>
        </mc:AlternateContent>
      </w:r>
    </w:p>
    <w:p w14:paraId="46A6274E" w14:textId="77777777" w:rsidR="00AB6E06" w:rsidRPr="00915362" w:rsidRDefault="00AB6E06" w:rsidP="00915362">
      <w:pPr>
        <w:spacing w:line="276" w:lineRule="auto"/>
        <w:jc w:val="both"/>
        <w:rPr>
          <w:rFonts w:ascii="Tahoma" w:hAnsi="Tahoma" w:cs="Tahoma"/>
          <w:b/>
          <w:bCs/>
          <w:lang w:val="fr-FR"/>
        </w:rPr>
      </w:pPr>
    </w:p>
    <w:p w14:paraId="78A0F7A2" w14:textId="431E25C9" w:rsidR="005971C8" w:rsidRPr="00915362" w:rsidRDefault="00915362" w:rsidP="00425C35">
      <w:pPr>
        <w:spacing w:line="276" w:lineRule="auto"/>
        <w:jc w:val="both"/>
        <w:rPr>
          <w:rFonts w:ascii="Tahoma" w:hAnsi="Tahoma" w:cs="Tahoma"/>
          <w:bCs/>
          <w:lang w:val="fr-FR"/>
        </w:rPr>
      </w:pPr>
      <w:r w:rsidRPr="00915362">
        <w:rPr>
          <w:rFonts w:ascii="Tahoma" w:hAnsi="Tahoma" w:cs="Tahoma"/>
          <w:b/>
          <w:bCs/>
          <w:lang w:val="fr-FR"/>
        </w:rPr>
        <w:t xml:space="preserve">Abu Dhabi, </w:t>
      </w:r>
      <w:r w:rsidR="0048201B">
        <w:rPr>
          <w:rFonts w:ascii="Tahoma" w:hAnsi="Tahoma" w:cs="Tahoma"/>
          <w:b/>
          <w:bCs/>
          <w:lang w:val="fr-FR"/>
        </w:rPr>
        <w:t>06</w:t>
      </w:r>
      <w:r w:rsidRPr="00915362">
        <w:rPr>
          <w:rFonts w:ascii="Tahoma" w:hAnsi="Tahoma" w:cs="Tahoma"/>
          <w:b/>
          <w:bCs/>
          <w:lang w:val="fr-FR"/>
        </w:rPr>
        <w:t xml:space="preserve"> décembre 2020</w:t>
      </w:r>
      <w:r w:rsidRPr="00915362">
        <w:rPr>
          <w:rFonts w:ascii="Tahoma" w:hAnsi="Tahoma" w:cs="Tahoma"/>
          <w:bCs/>
          <w:lang w:val="fr-FR"/>
        </w:rPr>
        <w:t> : La prochaine exposition du Louvre Abu Dhabi,</w:t>
      </w:r>
      <w:r w:rsidR="0043097F" w:rsidRPr="00425C35">
        <w:rPr>
          <w:lang w:val="fr-FR"/>
        </w:rPr>
        <w:t xml:space="preserve"> </w:t>
      </w:r>
      <w:proofErr w:type="spellStart"/>
      <w:r w:rsidR="0043097F" w:rsidRPr="0043097F">
        <w:rPr>
          <w:rFonts w:ascii="Tahoma" w:hAnsi="Tahoma" w:cs="Tahoma"/>
          <w:bCs/>
          <w:i/>
          <w:iCs/>
          <w:lang w:val="fr-FR"/>
        </w:rPr>
        <w:t>Furūsiyya</w:t>
      </w:r>
      <w:proofErr w:type="spellEnd"/>
      <w:r w:rsidRPr="00915362">
        <w:rPr>
          <w:rFonts w:ascii="Tahoma" w:hAnsi="Tahoma" w:cs="Tahoma"/>
          <w:bCs/>
          <w:i/>
          <w:iCs/>
          <w:lang w:val="fr-FR"/>
        </w:rPr>
        <w:t> :  l’art de la chevalerie entre Orient et Occident</w:t>
      </w:r>
      <w:r w:rsidRPr="00915362">
        <w:rPr>
          <w:rFonts w:ascii="Tahoma" w:hAnsi="Tahoma" w:cs="Tahoma"/>
          <w:bCs/>
          <w:lang w:val="fr-FR"/>
        </w:rPr>
        <w:t xml:space="preserve"> (19 février-30 mai 2020), propose une étude comparative inédite d’objets issus des mondes islamique et chrétien, et représentatifs de la culture de la chevalerie au Moyen Âge. Cette présentation immersive rassemble </w:t>
      </w:r>
      <w:r w:rsidR="00425C35">
        <w:rPr>
          <w:rFonts w:ascii="Tahoma" w:hAnsi="Tahoma" w:cs="Tahoma"/>
          <w:bCs/>
          <w:lang w:val="fr-FR"/>
        </w:rPr>
        <w:t>environ</w:t>
      </w:r>
      <w:r w:rsidRPr="00915362">
        <w:rPr>
          <w:rFonts w:ascii="Tahoma" w:hAnsi="Tahoma" w:cs="Tahoma"/>
          <w:bCs/>
          <w:lang w:val="fr-FR"/>
        </w:rPr>
        <w:t xml:space="preserve"> </w:t>
      </w:r>
      <w:r w:rsidR="00CF64CC" w:rsidRPr="00915362">
        <w:rPr>
          <w:rFonts w:ascii="Tahoma" w:hAnsi="Tahoma" w:cs="Tahoma"/>
          <w:bCs/>
          <w:lang w:val="fr-FR"/>
        </w:rPr>
        <w:t>1</w:t>
      </w:r>
      <w:r w:rsidR="00FE736B">
        <w:rPr>
          <w:rFonts w:ascii="Tahoma" w:hAnsi="Tahoma" w:cs="Tahoma"/>
          <w:bCs/>
          <w:lang w:val="fr-FR"/>
        </w:rPr>
        <w:t>3</w:t>
      </w:r>
      <w:r w:rsidR="00CF64CC" w:rsidRPr="00915362">
        <w:rPr>
          <w:rFonts w:ascii="Tahoma" w:hAnsi="Tahoma" w:cs="Tahoma"/>
          <w:bCs/>
          <w:lang w:val="fr-FR"/>
        </w:rPr>
        <w:t xml:space="preserve">0 </w:t>
      </w:r>
      <w:r w:rsidR="00C0188D">
        <w:rPr>
          <w:rFonts w:ascii="Tahoma" w:hAnsi="Tahoma" w:cs="Tahoma"/>
          <w:bCs/>
          <w:lang w:val="fr-FR"/>
        </w:rPr>
        <w:t>œuvres</w:t>
      </w:r>
      <w:r w:rsidR="003C6D98" w:rsidRPr="00915362">
        <w:rPr>
          <w:rFonts w:ascii="Tahoma" w:hAnsi="Tahoma" w:cs="Tahoma"/>
          <w:bCs/>
          <w:lang w:val="fr-FR"/>
        </w:rPr>
        <w:t> </w:t>
      </w:r>
      <w:r w:rsidRPr="00915362">
        <w:rPr>
          <w:rFonts w:ascii="Tahoma" w:hAnsi="Tahoma" w:cs="Tahoma"/>
          <w:bCs/>
          <w:lang w:val="fr-FR"/>
        </w:rPr>
        <w:t xml:space="preserve">– armures médiévales, objets associés à la cavalerie et aux combats, manuscrits enluminés représentant des scènes de chevalerie. </w:t>
      </w:r>
      <w:r w:rsidR="00464309">
        <w:rPr>
          <w:rFonts w:ascii="Tahoma" w:hAnsi="Tahoma" w:cs="Tahoma"/>
          <w:bCs/>
          <w:lang w:val="fr-FR"/>
        </w:rPr>
        <w:t xml:space="preserve"> </w:t>
      </w:r>
      <w:r w:rsidR="0074587F">
        <w:rPr>
          <w:rFonts w:ascii="Tahoma" w:hAnsi="Tahoma" w:cs="Tahoma"/>
          <w:bCs/>
          <w:lang w:val="fr-FR"/>
        </w:rPr>
        <w:t>U</w:t>
      </w:r>
      <w:r w:rsidR="005971C8">
        <w:rPr>
          <w:rFonts w:ascii="Tahoma" w:hAnsi="Tahoma" w:cs="Tahoma"/>
          <w:bCs/>
          <w:lang w:val="fr-FR"/>
        </w:rPr>
        <w:t xml:space="preserve">ne </w:t>
      </w:r>
      <w:r w:rsidR="00464309">
        <w:rPr>
          <w:rFonts w:ascii="Tahoma" w:hAnsi="Tahoma" w:cs="Tahoma"/>
          <w:bCs/>
          <w:lang w:val="fr-FR"/>
        </w:rPr>
        <w:t>attention</w:t>
      </w:r>
      <w:r w:rsidR="005971C8">
        <w:rPr>
          <w:rFonts w:ascii="Tahoma" w:hAnsi="Tahoma" w:cs="Tahoma"/>
          <w:bCs/>
          <w:lang w:val="fr-FR"/>
        </w:rPr>
        <w:t xml:space="preserve"> particulière a été apportée </w:t>
      </w:r>
      <w:r w:rsidR="00384F0A">
        <w:rPr>
          <w:rFonts w:ascii="Tahoma" w:hAnsi="Tahoma" w:cs="Tahoma"/>
          <w:bCs/>
          <w:lang w:val="fr-FR"/>
        </w:rPr>
        <w:t>au</w:t>
      </w:r>
      <w:r w:rsidR="00B73C16">
        <w:rPr>
          <w:rFonts w:ascii="Tahoma" w:hAnsi="Tahoma" w:cs="Tahoma"/>
          <w:bCs/>
          <w:lang w:val="fr-FR"/>
        </w:rPr>
        <w:t>x</w:t>
      </w:r>
      <w:r w:rsidR="00384F0A">
        <w:rPr>
          <w:rFonts w:ascii="Tahoma" w:hAnsi="Tahoma" w:cs="Tahoma"/>
          <w:bCs/>
          <w:lang w:val="fr-FR"/>
        </w:rPr>
        <w:t xml:space="preserve"> </w:t>
      </w:r>
      <w:r w:rsidR="00B73C16" w:rsidRPr="00842A99">
        <w:rPr>
          <w:rFonts w:ascii="Arial" w:hAnsi="Arial" w:cs="Arial"/>
          <w:color w:val="222222"/>
          <w:lang w:val="fr-FR"/>
        </w:rPr>
        <w:t>valeurs des chevaliers de l'époque médiévale</w:t>
      </w:r>
      <w:r w:rsidR="00384F0A">
        <w:rPr>
          <w:rFonts w:ascii="Tahoma" w:hAnsi="Tahoma" w:cs="Tahoma"/>
          <w:bCs/>
          <w:lang w:val="fr-FR"/>
        </w:rPr>
        <w:t>. L</w:t>
      </w:r>
      <w:r w:rsidR="005971C8">
        <w:rPr>
          <w:rFonts w:ascii="Tahoma" w:hAnsi="Tahoma" w:cs="Tahoma"/>
          <w:bCs/>
          <w:lang w:val="fr-FR"/>
        </w:rPr>
        <w:t>e courage, la foi</w:t>
      </w:r>
      <w:r w:rsidR="00B73C16">
        <w:rPr>
          <w:rFonts w:ascii="Tahoma" w:hAnsi="Tahoma" w:cs="Tahoma"/>
          <w:bCs/>
          <w:lang w:val="fr-FR"/>
        </w:rPr>
        <w:t>,</w:t>
      </w:r>
      <w:r w:rsidR="005971C8">
        <w:rPr>
          <w:rFonts w:ascii="Tahoma" w:hAnsi="Tahoma" w:cs="Tahoma"/>
          <w:bCs/>
          <w:lang w:val="fr-FR"/>
        </w:rPr>
        <w:t xml:space="preserve"> la loyauté</w:t>
      </w:r>
      <w:r w:rsidR="00B73C16">
        <w:rPr>
          <w:rFonts w:ascii="Tahoma" w:hAnsi="Tahoma" w:cs="Tahoma"/>
          <w:bCs/>
          <w:lang w:val="fr-FR"/>
        </w:rPr>
        <w:t xml:space="preserve"> ou encore l’honneur</w:t>
      </w:r>
      <w:r w:rsidR="005971C8">
        <w:rPr>
          <w:rFonts w:ascii="Tahoma" w:hAnsi="Tahoma" w:cs="Tahoma"/>
          <w:bCs/>
          <w:lang w:val="fr-FR"/>
        </w:rPr>
        <w:t xml:space="preserve">, </w:t>
      </w:r>
      <w:r w:rsidR="00384F0A">
        <w:rPr>
          <w:rFonts w:ascii="Tahoma" w:hAnsi="Tahoma" w:cs="Tahoma"/>
          <w:bCs/>
          <w:lang w:val="fr-FR"/>
        </w:rPr>
        <w:t>peuvent ainsi être</w:t>
      </w:r>
      <w:r w:rsidR="00A96DC0">
        <w:rPr>
          <w:rFonts w:ascii="Tahoma" w:hAnsi="Tahoma" w:cs="Tahoma"/>
          <w:bCs/>
          <w:lang w:val="fr-FR"/>
        </w:rPr>
        <w:t xml:space="preserve"> considérés </w:t>
      </w:r>
      <w:r w:rsidR="005971C8">
        <w:rPr>
          <w:rFonts w:ascii="Tahoma" w:hAnsi="Tahoma" w:cs="Tahoma"/>
          <w:bCs/>
          <w:lang w:val="fr-FR"/>
        </w:rPr>
        <w:t xml:space="preserve">comme </w:t>
      </w:r>
      <w:r w:rsidR="00464309">
        <w:rPr>
          <w:rFonts w:ascii="Tahoma" w:hAnsi="Tahoma" w:cs="Tahoma"/>
          <w:bCs/>
          <w:lang w:val="fr-FR"/>
        </w:rPr>
        <w:t>le</w:t>
      </w:r>
      <w:r w:rsidR="00A9528A">
        <w:rPr>
          <w:rFonts w:ascii="Tahoma" w:hAnsi="Tahoma" w:cs="Tahoma"/>
          <w:bCs/>
          <w:lang w:val="fr-FR"/>
        </w:rPr>
        <w:t xml:space="preserve"> </w:t>
      </w:r>
      <w:r w:rsidR="00A96DC0">
        <w:rPr>
          <w:rFonts w:ascii="Tahoma" w:hAnsi="Tahoma" w:cs="Tahoma"/>
          <w:bCs/>
          <w:lang w:val="fr-FR"/>
        </w:rPr>
        <w:t>point d’ancrage</w:t>
      </w:r>
      <w:r w:rsidR="005971C8">
        <w:rPr>
          <w:rFonts w:ascii="Tahoma" w:hAnsi="Tahoma" w:cs="Tahoma"/>
          <w:bCs/>
          <w:lang w:val="fr-FR"/>
        </w:rPr>
        <w:t xml:space="preserve"> d’une culture commune</w:t>
      </w:r>
      <w:r w:rsidR="00AB1EFC">
        <w:rPr>
          <w:rFonts w:ascii="Tahoma" w:hAnsi="Tahoma" w:cs="Tahoma"/>
          <w:bCs/>
          <w:lang w:val="fr-FR"/>
        </w:rPr>
        <w:t>,</w:t>
      </w:r>
      <w:r w:rsidR="005971C8">
        <w:rPr>
          <w:rFonts w:ascii="Tahoma" w:hAnsi="Tahoma" w:cs="Tahoma"/>
          <w:bCs/>
          <w:lang w:val="fr-FR"/>
        </w:rPr>
        <w:t xml:space="preserve"> </w:t>
      </w:r>
      <w:r w:rsidR="00384F0A" w:rsidRPr="00915362">
        <w:rPr>
          <w:rFonts w:ascii="Tahoma" w:hAnsi="Tahoma" w:cs="Tahoma"/>
          <w:bCs/>
          <w:lang w:val="fr-FR"/>
        </w:rPr>
        <w:t xml:space="preserve">présente </w:t>
      </w:r>
      <w:r w:rsidR="00384F0A">
        <w:rPr>
          <w:rFonts w:ascii="Tahoma" w:hAnsi="Tahoma" w:cs="Tahoma"/>
          <w:bCs/>
          <w:lang w:val="fr-FR"/>
        </w:rPr>
        <w:t xml:space="preserve">à la fois en </w:t>
      </w:r>
      <w:r w:rsidR="005971C8" w:rsidRPr="00915362">
        <w:rPr>
          <w:rFonts w:ascii="Tahoma" w:hAnsi="Tahoma" w:cs="Tahoma"/>
          <w:bCs/>
          <w:lang w:val="fr-FR"/>
        </w:rPr>
        <w:t xml:space="preserve">Orient islamique et </w:t>
      </w:r>
      <w:r w:rsidR="00384F0A">
        <w:rPr>
          <w:rFonts w:ascii="Tahoma" w:hAnsi="Tahoma" w:cs="Tahoma"/>
          <w:bCs/>
          <w:lang w:val="fr-FR"/>
        </w:rPr>
        <w:t xml:space="preserve">en </w:t>
      </w:r>
      <w:r w:rsidR="005971C8" w:rsidRPr="00915362">
        <w:rPr>
          <w:rFonts w:ascii="Tahoma" w:hAnsi="Tahoma" w:cs="Tahoma"/>
          <w:bCs/>
          <w:lang w:val="fr-FR"/>
        </w:rPr>
        <w:t>Occident chrétien</w:t>
      </w:r>
      <w:r w:rsidR="00A96DC0">
        <w:rPr>
          <w:rFonts w:ascii="Tahoma" w:hAnsi="Tahoma" w:cs="Tahoma"/>
          <w:bCs/>
          <w:lang w:val="fr-FR"/>
        </w:rPr>
        <w:t>.</w:t>
      </w:r>
      <w:r w:rsidR="00384F0A">
        <w:rPr>
          <w:rFonts w:ascii="Tahoma" w:hAnsi="Tahoma" w:cs="Tahoma"/>
          <w:bCs/>
          <w:lang w:val="fr-FR"/>
        </w:rPr>
        <w:t xml:space="preserve"> </w:t>
      </w:r>
    </w:p>
    <w:p w14:paraId="6E12687B" w14:textId="4FBAACBE"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Organisée en trois séquences, l’exposition rassemble des objets du début du 11</w:t>
      </w:r>
      <w:r w:rsidRPr="00915362">
        <w:rPr>
          <w:rFonts w:ascii="Tahoma" w:hAnsi="Tahoma" w:cs="Tahoma"/>
          <w:bCs/>
          <w:vertAlign w:val="superscript"/>
          <w:lang w:val="fr-FR"/>
        </w:rPr>
        <w:t>e</w:t>
      </w:r>
      <w:r w:rsidRPr="00915362">
        <w:rPr>
          <w:rFonts w:ascii="Tahoma" w:hAnsi="Tahoma" w:cs="Tahoma"/>
          <w:bCs/>
          <w:lang w:val="fr-FR"/>
        </w:rPr>
        <w:t xml:space="preserve"> siècle au 16</w:t>
      </w:r>
      <w:r w:rsidRPr="00915362">
        <w:rPr>
          <w:rFonts w:ascii="Tahoma" w:hAnsi="Tahoma" w:cs="Tahoma"/>
          <w:bCs/>
          <w:vertAlign w:val="superscript"/>
          <w:lang w:val="fr-FR"/>
        </w:rPr>
        <w:t>e</w:t>
      </w:r>
      <w:r w:rsidRPr="00915362">
        <w:rPr>
          <w:rFonts w:ascii="Tahoma" w:hAnsi="Tahoma" w:cs="Tahoma"/>
          <w:bCs/>
          <w:lang w:val="fr-FR"/>
        </w:rPr>
        <w:t xml:space="preserve"> siècle provenant de différentes régions du Moyen-Orient – Iran, Irak, Égypte, Syrie – et des états français et allemand en Europe. Elle permet de découvrir les similitudes des traditions chevaleresques dans différentes parties du monde médiéval et éclaire les fascinants échanges culturels présents dans ces </w:t>
      </w:r>
      <w:r w:rsidRPr="00915362">
        <w:rPr>
          <w:rFonts w:ascii="Tahoma" w:hAnsi="Tahoma" w:cs="Tahoma"/>
          <w:bCs/>
          <w:lang w:val="fr-FR"/>
        </w:rPr>
        <w:lastRenderedPageBreak/>
        <w:t xml:space="preserve">carrefours essentiels que furent l’Espagne du sud, la Sicile et le Syrie. En accord avec la thématique de </w:t>
      </w:r>
      <w:r w:rsidR="00D16B16">
        <w:rPr>
          <w:rFonts w:ascii="Tahoma" w:hAnsi="Tahoma" w:cs="Tahoma"/>
          <w:bCs/>
          <w:lang w:val="fr-FR"/>
        </w:rPr>
        <w:t>Sociétés en mutations</w:t>
      </w:r>
      <w:r w:rsidRPr="00915362">
        <w:rPr>
          <w:rFonts w:ascii="Tahoma" w:hAnsi="Tahoma" w:cs="Tahoma"/>
          <w:bCs/>
          <w:lang w:val="fr-FR"/>
        </w:rPr>
        <w:t>, l’actuelle saison culturelle du Louvre Abu Dhabi, cet</w:t>
      </w:r>
      <w:r w:rsidR="003C6D98">
        <w:rPr>
          <w:rFonts w:ascii="Tahoma" w:hAnsi="Tahoma" w:cs="Tahoma"/>
          <w:bCs/>
          <w:lang w:val="fr-FR"/>
        </w:rPr>
        <w:t>te</w:t>
      </w:r>
      <w:r w:rsidRPr="00915362">
        <w:rPr>
          <w:rFonts w:ascii="Tahoma" w:hAnsi="Tahoma" w:cs="Tahoma"/>
          <w:bCs/>
          <w:lang w:val="fr-FR"/>
        </w:rPr>
        <w:t xml:space="preserve"> </w:t>
      </w:r>
      <w:r w:rsidR="00514120">
        <w:rPr>
          <w:rFonts w:ascii="Tahoma" w:hAnsi="Tahoma" w:cs="Tahoma"/>
          <w:bCs/>
          <w:lang w:val="fr-FR"/>
        </w:rPr>
        <w:t>exposition</w:t>
      </w:r>
      <w:r w:rsidR="00514120" w:rsidRPr="00915362">
        <w:rPr>
          <w:rFonts w:ascii="Tahoma" w:hAnsi="Tahoma" w:cs="Tahoma"/>
          <w:bCs/>
          <w:lang w:val="fr-FR"/>
        </w:rPr>
        <w:t xml:space="preserve"> </w:t>
      </w:r>
      <w:r w:rsidRPr="00915362">
        <w:rPr>
          <w:rFonts w:ascii="Tahoma" w:hAnsi="Tahoma" w:cs="Tahoma"/>
          <w:bCs/>
          <w:lang w:val="fr-FR"/>
        </w:rPr>
        <w:t>met l’accent sur des</w:t>
      </w:r>
      <w:r w:rsidR="00D16B16">
        <w:rPr>
          <w:rFonts w:ascii="Tahoma" w:hAnsi="Tahoma" w:cs="Tahoma"/>
          <w:bCs/>
          <w:lang w:val="fr-FR"/>
        </w:rPr>
        <w:t xml:space="preserve"> chefs d’œuvre</w:t>
      </w:r>
      <w:r w:rsidRPr="00915362">
        <w:rPr>
          <w:rFonts w:ascii="Tahoma" w:hAnsi="Tahoma" w:cs="Tahoma"/>
          <w:bCs/>
          <w:lang w:val="fr-FR"/>
        </w:rPr>
        <w:t xml:space="preserve"> </w:t>
      </w:r>
      <w:r w:rsidR="00D16B16">
        <w:rPr>
          <w:rFonts w:ascii="Tahoma" w:hAnsi="Tahoma" w:cs="Tahoma"/>
          <w:bCs/>
          <w:lang w:val="fr-FR"/>
        </w:rPr>
        <w:t>provenant</w:t>
      </w:r>
      <w:r w:rsidRPr="00915362">
        <w:rPr>
          <w:rFonts w:ascii="Tahoma" w:hAnsi="Tahoma" w:cs="Tahoma"/>
          <w:bCs/>
          <w:lang w:val="fr-FR"/>
        </w:rPr>
        <w:t xml:space="preserve"> de différentes cultures et périodes. Elle vise à clarifier les circonstances historiques qui ont contribué à la production de ces objets mais aussi la façon dont ils témoignent, aujourd’hui, des transformations historiques des cultures qui les ont fait naître. </w:t>
      </w:r>
    </w:p>
    <w:p w14:paraId="533F32EA" w14:textId="76B87B06" w:rsidR="00915362" w:rsidRPr="00915362" w:rsidRDefault="00915362" w:rsidP="0043097F">
      <w:pPr>
        <w:spacing w:line="276" w:lineRule="auto"/>
        <w:jc w:val="both"/>
        <w:rPr>
          <w:rFonts w:ascii="Tahoma" w:hAnsi="Tahoma" w:cs="Tahoma"/>
          <w:bCs/>
          <w:lang w:val="fr-FR"/>
        </w:rPr>
      </w:pPr>
      <w:r w:rsidRPr="00915362">
        <w:rPr>
          <w:rFonts w:ascii="Tahoma" w:hAnsi="Tahoma" w:cs="Tahoma"/>
          <w:bCs/>
          <w:lang w:val="fr-FR"/>
        </w:rPr>
        <w:t>L’exposition</w:t>
      </w:r>
      <w:r w:rsidR="0043097F" w:rsidRPr="00425C35">
        <w:rPr>
          <w:lang w:val="fr-FR"/>
        </w:rPr>
        <w:t xml:space="preserve"> </w:t>
      </w:r>
      <w:proofErr w:type="spellStart"/>
      <w:r w:rsidR="0043097F" w:rsidRPr="0043097F">
        <w:rPr>
          <w:rFonts w:ascii="Tahoma" w:hAnsi="Tahoma" w:cs="Tahoma"/>
          <w:bCs/>
          <w:i/>
          <w:iCs/>
          <w:lang w:val="fr-FR"/>
        </w:rPr>
        <w:t>Furūsiyya</w:t>
      </w:r>
      <w:proofErr w:type="spellEnd"/>
      <w:r w:rsidRPr="00915362">
        <w:rPr>
          <w:rFonts w:ascii="Tahoma" w:hAnsi="Tahoma" w:cs="Tahoma"/>
          <w:bCs/>
          <w:i/>
          <w:iCs/>
          <w:lang w:val="fr-FR"/>
        </w:rPr>
        <w:t>:</w:t>
      </w:r>
      <w:r w:rsidR="00622023">
        <w:rPr>
          <w:rFonts w:ascii="Tahoma" w:hAnsi="Tahoma" w:cs="Tahoma"/>
          <w:bCs/>
          <w:i/>
          <w:iCs/>
          <w:lang w:val="fr-FR"/>
        </w:rPr>
        <w:t xml:space="preserve"> </w:t>
      </w:r>
      <w:r w:rsidRPr="00915362">
        <w:rPr>
          <w:rFonts w:ascii="Tahoma" w:hAnsi="Tahoma" w:cs="Tahoma"/>
          <w:bCs/>
          <w:i/>
          <w:iCs/>
          <w:lang w:val="fr-FR"/>
        </w:rPr>
        <w:t xml:space="preserve">l’art de la chevalerie entre Orient et Occident </w:t>
      </w:r>
      <w:r w:rsidRPr="00915362">
        <w:rPr>
          <w:rFonts w:ascii="Tahoma" w:hAnsi="Tahoma" w:cs="Tahoma"/>
          <w:bCs/>
          <w:lang w:val="fr-FR"/>
        </w:rPr>
        <w:t xml:space="preserve">est </w:t>
      </w:r>
      <w:proofErr w:type="gramStart"/>
      <w:r w:rsidRPr="00915362">
        <w:rPr>
          <w:rFonts w:ascii="Tahoma" w:hAnsi="Tahoma" w:cs="Tahoma"/>
          <w:bCs/>
          <w:lang w:val="fr-FR"/>
        </w:rPr>
        <w:t>réalisée</w:t>
      </w:r>
      <w:proofErr w:type="gramEnd"/>
      <w:r w:rsidRPr="00915362">
        <w:rPr>
          <w:rFonts w:ascii="Tahoma" w:hAnsi="Tahoma" w:cs="Tahoma"/>
          <w:bCs/>
          <w:lang w:val="fr-FR"/>
        </w:rPr>
        <w:t xml:space="preserve"> en partenariat avec le musée de Cluny</w:t>
      </w:r>
      <w:r w:rsidR="00425C35">
        <w:rPr>
          <w:rFonts w:ascii="Tahoma" w:hAnsi="Tahoma" w:cs="Tahoma"/>
          <w:bCs/>
          <w:lang w:val="fr-FR"/>
        </w:rPr>
        <w:t xml:space="preserve"> </w:t>
      </w:r>
      <w:r w:rsidRPr="00915362">
        <w:rPr>
          <w:rFonts w:ascii="Tahoma" w:hAnsi="Tahoma" w:cs="Tahoma"/>
          <w:bCs/>
          <w:lang w:val="fr-FR"/>
        </w:rPr>
        <w:t>-</w:t>
      </w:r>
      <w:r w:rsidR="00425C35">
        <w:rPr>
          <w:rFonts w:ascii="Tahoma" w:hAnsi="Tahoma" w:cs="Tahoma"/>
          <w:bCs/>
          <w:lang w:val="fr-FR"/>
        </w:rPr>
        <w:t xml:space="preserve"> </w:t>
      </w:r>
      <w:r w:rsidRPr="00915362">
        <w:rPr>
          <w:rFonts w:ascii="Tahoma" w:hAnsi="Tahoma" w:cs="Tahoma"/>
          <w:bCs/>
          <w:lang w:val="fr-FR"/>
        </w:rPr>
        <w:t>musée national du Moyen Âge, Paris, et l’Agence France-Muséums.</w:t>
      </w:r>
    </w:p>
    <w:p w14:paraId="3A911B24" w14:textId="3107EDDD" w:rsidR="00915362" w:rsidRPr="00915362" w:rsidRDefault="00915362" w:rsidP="00622023">
      <w:pPr>
        <w:spacing w:line="276" w:lineRule="auto"/>
        <w:jc w:val="both"/>
        <w:rPr>
          <w:rFonts w:ascii="Tahoma" w:hAnsi="Tahoma" w:cs="Tahoma"/>
          <w:bCs/>
          <w:lang w:val="fr-FR"/>
        </w:rPr>
      </w:pPr>
      <w:r w:rsidRPr="00915362">
        <w:rPr>
          <w:rFonts w:ascii="Tahoma" w:hAnsi="Tahoma" w:cs="Tahoma"/>
          <w:bCs/>
          <w:lang w:val="fr-FR"/>
        </w:rPr>
        <w:t>Commissaire</w:t>
      </w:r>
      <w:r w:rsidR="00C0188D">
        <w:rPr>
          <w:rFonts w:ascii="Tahoma" w:hAnsi="Tahoma" w:cs="Tahoma"/>
          <w:bCs/>
          <w:lang w:val="fr-FR"/>
        </w:rPr>
        <w:t xml:space="preserve"> générale</w:t>
      </w:r>
      <w:r w:rsidRPr="00915362">
        <w:rPr>
          <w:rFonts w:ascii="Tahoma" w:hAnsi="Tahoma" w:cs="Tahoma"/>
          <w:bCs/>
          <w:lang w:val="fr-FR"/>
        </w:rPr>
        <w:t xml:space="preserve"> : Dr. Elisabeth </w:t>
      </w:r>
      <w:proofErr w:type="spellStart"/>
      <w:r w:rsidRPr="00915362">
        <w:rPr>
          <w:rFonts w:ascii="Tahoma" w:hAnsi="Tahoma" w:cs="Tahoma"/>
          <w:bCs/>
          <w:lang w:val="fr-FR"/>
        </w:rPr>
        <w:t>Taburet</w:t>
      </w:r>
      <w:proofErr w:type="spellEnd"/>
      <w:r w:rsidRPr="00915362">
        <w:rPr>
          <w:rFonts w:ascii="Tahoma" w:hAnsi="Tahoma" w:cs="Tahoma"/>
          <w:bCs/>
          <w:lang w:val="fr-FR"/>
        </w:rPr>
        <w:t>-Delahaye,</w:t>
      </w:r>
      <w:r w:rsidR="00AB6E06">
        <w:rPr>
          <w:rFonts w:ascii="Tahoma" w:hAnsi="Tahoma" w:cs="Tahoma"/>
          <w:bCs/>
          <w:lang w:val="fr-FR"/>
        </w:rPr>
        <w:t xml:space="preserve"> </w:t>
      </w:r>
      <w:r w:rsidR="00AB6E06" w:rsidRPr="00AB6E06">
        <w:rPr>
          <w:rFonts w:ascii="Tahoma" w:hAnsi="Tahoma" w:cs="Tahoma"/>
          <w:bCs/>
          <w:lang w:val="fr-FR"/>
        </w:rPr>
        <w:t>Conservatrice générale</w:t>
      </w:r>
      <w:r w:rsidR="00AB6E06">
        <w:rPr>
          <w:rFonts w:ascii="Tahoma" w:hAnsi="Tahoma" w:cs="Tahoma"/>
          <w:bCs/>
          <w:lang w:val="fr-FR"/>
        </w:rPr>
        <w:t xml:space="preserve"> </w:t>
      </w:r>
      <w:r w:rsidR="00AB6E06" w:rsidRPr="00AB6E06">
        <w:rPr>
          <w:rFonts w:ascii="Tahoma" w:hAnsi="Tahoma" w:cs="Tahoma"/>
          <w:bCs/>
          <w:lang w:val="fr-FR"/>
        </w:rPr>
        <w:t>honoraire du patrimoine</w:t>
      </w:r>
      <w:r w:rsidR="00AB6E06">
        <w:rPr>
          <w:rFonts w:ascii="Tahoma" w:hAnsi="Tahoma" w:cs="Tahoma"/>
          <w:bCs/>
          <w:lang w:val="fr-FR"/>
        </w:rPr>
        <w:t xml:space="preserve">, </w:t>
      </w:r>
      <w:r w:rsidRPr="00915362">
        <w:rPr>
          <w:rFonts w:ascii="Tahoma" w:hAnsi="Tahoma" w:cs="Tahoma"/>
          <w:bCs/>
          <w:lang w:val="fr-FR"/>
        </w:rPr>
        <w:t>ancienne directrice du musée de Cluny</w:t>
      </w:r>
      <w:r w:rsidR="00C0188D">
        <w:rPr>
          <w:rFonts w:ascii="Tahoma" w:hAnsi="Tahoma" w:cs="Tahoma"/>
          <w:bCs/>
          <w:lang w:val="fr-FR"/>
        </w:rPr>
        <w:t xml:space="preserve"> </w:t>
      </w:r>
      <w:r w:rsidRPr="00915362">
        <w:rPr>
          <w:rFonts w:ascii="Tahoma" w:hAnsi="Tahoma" w:cs="Tahoma"/>
          <w:bCs/>
          <w:lang w:val="fr-FR"/>
        </w:rPr>
        <w:t>-</w:t>
      </w:r>
      <w:r w:rsidR="00C0188D">
        <w:rPr>
          <w:rFonts w:ascii="Tahoma" w:hAnsi="Tahoma" w:cs="Tahoma"/>
          <w:bCs/>
          <w:lang w:val="fr-FR"/>
        </w:rPr>
        <w:t xml:space="preserve"> </w:t>
      </w:r>
      <w:r w:rsidRPr="00915362">
        <w:rPr>
          <w:rFonts w:ascii="Tahoma" w:hAnsi="Tahoma" w:cs="Tahoma"/>
          <w:bCs/>
          <w:lang w:val="fr-FR"/>
        </w:rPr>
        <w:t xml:space="preserve">musée national du Moyen Âge ; </w:t>
      </w:r>
      <w:proofErr w:type="spellStart"/>
      <w:r w:rsidRPr="00915362">
        <w:rPr>
          <w:rFonts w:ascii="Tahoma" w:hAnsi="Tahoma" w:cs="Tahoma"/>
          <w:bCs/>
          <w:lang w:val="fr-FR"/>
        </w:rPr>
        <w:t>co</w:t>
      </w:r>
      <w:proofErr w:type="spellEnd"/>
      <w:r w:rsidRPr="00915362">
        <w:rPr>
          <w:rFonts w:ascii="Tahoma" w:hAnsi="Tahoma" w:cs="Tahoma"/>
          <w:bCs/>
          <w:lang w:val="fr-FR"/>
        </w:rPr>
        <w:t xml:space="preserve">-commissaires : Dr. Carine </w:t>
      </w:r>
      <w:proofErr w:type="spellStart"/>
      <w:r w:rsidRPr="00915362">
        <w:rPr>
          <w:rFonts w:ascii="Tahoma" w:hAnsi="Tahoma" w:cs="Tahoma"/>
          <w:bCs/>
          <w:lang w:val="fr-FR"/>
        </w:rPr>
        <w:t>Juvin</w:t>
      </w:r>
      <w:proofErr w:type="spellEnd"/>
      <w:r w:rsidRPr="00915362">
        <w:rPr>
          <w:rFonts w:ascii="Tahoma" w:hAnsi="Tahoma" w:cs="Tahoma"/>
          <w:bCs/>
          <w:lang w:val="fr-FR"/>
        </w:rPr>
        <w:t>,</w:t>
      </w:r>
      <w:r w:rsidR="00622023">
        <w:rPr>
          <w:rFonts w:ascii="Tahoma" w:hAnsi="Tahoma" w:cs="Tahoma"/>
          <w:bCs/>
          <w:lang w:val="fr-FR"/>
        </w:rPr>
        <w:t xml:space="preserve"> </w:t>
      </w:r>
      <w:r w:rsidR="00622023" w:rsidRPr="00622023">
        <w:rPr>
          <w:rFonts w:ascii="Tahoma" w:hAnsi="Tahoma" w:cs="Tahoma"/>
          <w:bCs/>
          <w:lang w:val="fr-FR"/>
        </w:rPr>
        <w:t>Chargée de collections</w:t>
      </w:r>
      <w:r w:rsidR="00622023">
        <w:rPr>
          <w:rFonts w:ascii="Tahoma" w:hAnsi="Tahoma" w:cs="Tahoma"/>
          <w:bCs/>
          <w:lang w:val="fr-FR"/>
        </w:rPr>
        <w:t xml:space="preserve"> </w:t>
      </w:r>
      <w:r w:rsidR="00622023" w:rsidRPr="00622023">
        <w:rPr>
          <w:rFonts w:ascii="Tahoma" w:hAnsi="Tahoma" w:cs="Tahoma"/>
          <w:bCs/>
          <w:lang w:val="fr-FR"/>
        </w:rPr>
        <w:t>au département des Arts de</w:t>
      </w:r>
      <w:r w:rsidR="00622023">
        <w:rPr>
          <w:rFonts w:ascii="Tahoma" w:hAnsi="Tahoma" w:cs="Tahoma"/>
          <w:bCs/>
          <w:lang w:val="fr-FR"/>
        </w:rPr>
        <w:t xml:space="preserve"> </w:t>
      </w:r>
      <w:r w:rsidR="00622023" w:rsidRPr="00622023">
        <w:rPr>
          <w:rFonts w:ascii="Tahoma" w:hAnsi="Tahoma" w:cs="Tahoma"/>
          <w:bCs/>
          <w:lang w:val="fr-FR"/>
        </w:rPr>
        <w:t>l’Islam du musée du Louvre</w:t>
      </w:r>
      <w:r w:rsidRPr="00915362">
        <w:rPr>
          <w:rFonts w:ascii="Tahoma" w:hAnsi="Tahoma" w:cs="Tahoma"/>
          <w:bCs/>
          <w:lang w:val="fr-FR"/>
        </w:rPr>
        <w:t>, et Michel Huynh,</w:t>
      </w:r>
      <w:r w:rsidR="00622023">
        <w:rPr>
          <w:rFonts w:ascii="Tahoma" w:hAnsi="Tahoma" w:cs="Tahoma"/>
          <w:bCs/>
          <w:lang w:val="fr-FR"/>
        </w:rPr>
        <w:t xml:space="preserve"> </w:t>
      </w:r>
      <w:r w:rsidR="00622023" w:rsidRPr="00622023">
        <w:rPr>
          <w:rFonts w:ascii="Tahoma" w:hAnsi="Tahoma" w:cs="Tahoma"/>
          <w:bCs/>
          <w:lang w:val="fr-FR"/>
        </w:rPr>
        <w:t xml:space="preserve">conservateur général du patrimoine au Musée de Cluny – </w:t>
      </w:r>
      <w:r w:rsidR="00425C35">
        <w:rPr>
          <w:rFonts w:ascii="Tahoma" w:hAnsi="Tahoma" w:cs="Tahoma"/>
          <w:bCs/>
          <w:lang w:val="fr-FR"/>
        </w:rPr>
        <w:t>m</w:t>
      </w:r>
      <w:r w:rsidR="00622023" w:rsidRPr="00622023">
        <w:rPr>
          <w:rFonts w:ascii="Tahoma" w:hAnsi="Tahoma" w:cs="Tahoma"/>
          <w:bCs/>
          <w:lang w:val="fr-FR"/>
        </w:rPr>
        <w:t>usée national du Moyen Âge</w:t>
      </w:r>
      <w:r w:rsidR="00622023">
        <w:rPr>
          <w:rFonts w:ascii="Tahoma" w:hAnsi="Tahoma" w:cs="Tahoma"/>
          <w:bCs/>
          <w:lang w:val="fr-FR"/>
        </w:rPr>
        <w:t>.</w:t>
      </w:r>
    </w:p>
    <w:p w14:paraId="6BCB0FA3" w14:textId="6C428A25" w:rsidR="00915362" w:rsidRPr="00915362" w:rsidRDefault="00915362" w:rsidP="00441656">
      <w:pPr>
        <w:spacing w:line="276" w:lineRule="auto"/>
        <w:jc w:val="both"/>
        <w:rPr>
          <w:rFonts w:ascii="Tahoma" w:hAnsi="Tahoma" w:cs="Tahoma"/>
          <w:bCs/>
          <w:lang w:val="fr-FR"/>
        </w:rPr>
      </w:pPr>
      <w:r w:rsidRPr="00915362">
        <w:rPr>
          <w:rFonts w:ascii="Tahoma" w:hAnsi="Tahoma" w:cs="Tahoma"/>
          <w:b/>
          <w:bCs/>
          <w:lang w:val="fr-FR"/>
        </w:rPr>
        <w:t>Manuel Rabaté, directeur du Louvre Abu Dhabi</w:t>
      </w:r>
      <w:r w:rsidRPr="00915362">
        <w:rPr>
          <w:rFonts w:ascii="Tahoma" w:hAnsi="Tahoma" w:cs="Tahoma"/>
          <w:bCs/>
          <w:lang w:val="fr-FR"/>
        </w:rPr>
        <w:t xml:space="preserve"> déclare : « L’exposition </w:t>
      </w:r>
      <w:proofErr w:type="spellStart"/>
      <w:r w:rsidR="0043097F">
        <w:rPr>
          <w:rFonts w:ascii="Tahoma" w:hAnsi="Tahoma" w:cs="Tahoma"/>
          <w:b/>
          <w:bCs/>
          <w:i/>
          <w:iCs/>
          <w:lang w:val="fr-FR"/>
        </w:rPr>
        <w:t>Fur</w:t>
      </w:r>
      <w:r w:rsidR="0043097F" w:rsidRPr="0043097F">
        <w:rPr>
          <w:rFonts w:ascii="Tahoma" w:hAnsi="Tahoma" w:cs="Tahoma"/>
          <w:b/>
          <w:bCs/>
          <w:i/>
          <w:iCs/>
          <w:lang w:val="fr-FR"/>
        </w:rPr>
        <w:t>ū</w:t>
      </w:r>
      <w:r w:rsidR="0043097F">
        <w:rPr>
          <w:rFonts w:ascii="Tahoma" w:hAnsi="Tahoma" w:cs="Tahoma"/>
          <w:b/>
          <w:bCs/>
          <w:i/>
          <w:iCs/>
          <w:lang w:val="fr-FR"/>
        </w:rPr>
        <w:t>siyya</w:t>
      </w:r>
      <w:proofErr w:type="spellEnd"/>
      <w:r w:rsidR="0043097F" w:rsidRPr="00915362">
        <w:rPr>
          <w:rFonts w:ascii="Tahoma" w:hAnsi="Tahoma" w:cs="Tahoma"/>
          <w:b/>
          <w:bCs/>
          <w:i/>
          <w:iCs/>
          <w:lang w:val="fr-FR"/>
        </w:rPr>
        <w:t> </w:t>
      </w:r>
      <w:r w:rsidRPr="00915362">
        <w:rPr>
          <w:rFonts w:ascii="Tahoma" w:hAnsi="Tahoma" w:cs="Tahoma"/>
          <w:bCs/>
          <w:i/>
          <w:iCs/>
          <w:lang w:val="fr-FR"/>
        </w:rPr>
        <w:t xml:space="preserve">: l’art de la chevalerie entre Orient et Occident </w:t>
      </w:r>
      <w:r w:rsidRPr="00915362">
        <w:rPr>
          <w:rFonts w:ascii="Tahoma" w:hAnsi="Tahoma" w:cs="Tahoma"/>
          <w:bCs/>
          <w:lang w:val="fr-FR"/>
        </w:rPr>
        <w:t>s’accorde parfaitement au projet du Louvre Abu Dhabi. Notre ville a toujours été un point</w:t>
      </w:r>
      <w:r w:rsidR="00441656">
        <w:rPr>
          <w:rFonts w:ascii="Tahoma" w:hAnsi="Tahoma" w:cs="Tahoma"/>
          <w:bCs/>
          <w:lang w:val="fr-FR"/>
        </w:rPr>
        <w:t xml:space="preserve"> de contact</w:t>
      </w:r>
      <w:r w:rsidRPr="00915362">
        <w:rPr>
          <w:rFonts w:ascii="Tahoma" w:hAnsi="Tahoma" w:cs="Tahoma"/>
          <w:bCs/>
          <w:lang w:val="fr-FR"/>
        </w:rPr>
        <w:t xml:space="preserve"> entre l’Orient et l’Occident et c’est le lieu idéal pour explorer un moment-clé de l’histoire arabe et des échanges culturels croisés avec le monde occidental. La diversité des partenaires internationaux de l’exposition – prêteurs et experts scientifiques – témoigne de l’importance de cette thématique au sein de la communauté universitaire et académique. Notre gratitude la plus vive s’adresse au musée de Cluny</w:t>
      </w:r>
      <w:r w:rsidR="00C0188D">
        <w:rPr>
          <w:rFonts w:ascii="Tahoma" w:hAnsi="Tahoma" w:cs="Tahoma"/>
          <w:bCs/>
          <w:lang w:val="fr-FR"/>
        </w:rPr>
        <w:t xml:space="preserve"> </w:t>
      </w:r>
      <w:r w:rsidRPr="00915362">
        <w:rPr>
          <w:rFonts w:ascii="Tahoma" w:hAnsi="Tahoma" w:cs="Tahoma"/>
          <w:bCs/>
          <w:lang w:val="fr-FR"/>
        </w:rPr>
        <w:t>-</w:t>
      </w:r>
      <w:r w:rsidR="00C0188D">
        <w:rPr>
          <w:rFonts w:ascii="Tahoma" w:hAnsi="Tahoma" w:cs="Tahoma"/>
          <w:bCs/>
          <w:lang w:val="fr-FR"/>
        </w:rPr>
        <w:t xml:space="preserve"> </w:t>
      </w:r>
      <w:r w:rsidRPr="00915362">
        <w:rPr>
          <w:rFonts w:ascii="Tahoma" w:hAnsi="Tahoma" w:cs="Tahoma"/>
          <w:bCs/>
          <w:lang w:val="fr-FR"/>
        </w:rPr>
        <w:t>musée national du Moyen Âge et à nos différents partenaires institutionnels à New York, Dublin, Paris et ailleurs, dont les prêts ont rendu possible cette entreprise sans précédent. »</w:t>
      </w:r>
    </w:p>
    <w:p w14:paraId="671A3101" w14:textId="61512E75" w:rsidR="00AB1EFC" w:rsidRPr="00AB1EFC" w:rsidRDefault="00915362" w:rsidP="0043097F">
      <w:pPr>
        <w:spacing w:line="276" w:lineRule="auto"/>
        <w:jc w:val="both"/>
        <w:rPr>
          <w:rFonts w:ascii="Tahoma" w:hAnsi="Tahoma" w:cs="Tahoma"/>
          <w:bCs/>
          <w:lang w:val="fr-FR"/>
        </w:rPr>
      </w:pPr>
      <w:r w:rsidRPr="00915362">
        <w:rPr>
          <w:rFonts w:ascii="Tahoma" w:hAnsi="Tahoma" w:cs="Tahoma"/>
          <w:b/>
          <w:bCs/>
          <w:lang w:val="fr-FR"/>
        </w:rPr>
        <w:t xml:space="preserve">Les commissaires de l’exposition, le Dr. Elisabeth </w:t>
      </w:r>
      <w:proofErr w:type="spellStart"/>
      <w:r w:rsidRPr="00915362">
        <w:rPr>
          <w:rFonts w:ascii="Tahoma" w:hAnsi="Tahoma" w:cs="Tahoma"/>
          <w:b/>
          <w:bCs/>
          <w:lang w:val="fr-FR"/>
        </w:rPr>
        <w:t>Taburet</w:t>
      </w:r>
      <w:proofErr w:type="spellEnd"/>
      <w:r w:rsidRPr="00915362">
        <w:rPr>
          <w:rFonts w:ascii="Tahoma" w:hAnsi="Tahoma" w:cs="Tahoma"/>
          <w:b/>
          <w:bCs/>
          <w:lang w:val="fr-FR"/>
        </w:rPr>
        <w:t>-Delahaye, le Dr. Carine Juvin et Michel Huynh</w:t>
      </w:r>
      <w:r w:rsidRPr="00915362">
        <w:rPr>
          <w:rFonts w:ascii="Tahoma" w:hAnsi="Tahoma" w:cs="Tahoma"/>
          <w:bCs/>
          <w:lang w:val="fr-FR"/>
        </w:rPr>
        <w:t xml:space="preserve"> précisent : « </w:t>
      </w:r>
      <w:r w:rsidR="00AB1EFC" w:rsidRPr="00AB1EFC">
        <w:rPr>
          <w:rFonts w:ascii="Tahoma" w:hAnsi="Tahoma" w:cs="Tahoma"/>
          <w:bCs/>
          <w:lang w:val="fr-FR"/>
        </w:rPr>
        <w:t xml:space="preserve">L’art des cavaliers d’élite, la </w:t>
      </w:r>
      <w:r w:rsidR="0043097F">
        <w:rPr>
          <w:rFonts w:ascii="Tahoma" w:hAnsi="Tahoma" w:cs="Tahoma"/>
          <w:b/>
          <w:bCs/>
          <w:i/>
          <w:iCs/>
          <w:lang w:val="fr-FR"/>
        </w:rPr>
        <w:t>Fur</w:t>
      </w:r>
      <w:r w:rsidR="0043097F" w:rsidRPr="0043097F">
        <w:rPr>
          <w:rFonts w:ascii="Tahoma" w:hAnsi="Tahoma" w:cs="Tahoma"/>
          <w:b/>
          <w:bCs/>
          <w:i/>
          <w:iCs/>
          <w:lang w:val="fr-FR"/>
        </w:rPr>
        <w:t>ū</w:t>
      </w:r>
      <w:r w:rsidR="0043097F">
        <w:rPr>
          <w:rFonts w:ascii="Tahoma" w:hAnsi="Tahoma" w:cs="Tahoma"/>
          <w:b/>
          <w:bCs/>
          <w:i/>
          <w:iCs/>
          <w:lang w:val="fr-FR"/>
        </w:rPr>
        <w:t>siyya</w:t>
      </w:r>
      <w:r w:rsidR="0043097F" w:rsidRPr="00915362">
        <w:rPr>
          <w:rFonts w:ascii="Tahoma" w:hAnsi="Tahoma" w:cs="Tahoma"/>
          <w:b/>
          <w:bCs/>
          <w:i/>
          <w:iCs/>
          <w:lang w:val="fr-FR"/>
        </w:rPr>
        <w:t> </w:t>
      </w:r>
      <w:r w:rsidR="00AB1EFC" w:rsidRPr="00AB1EFC">
        <w:rPr>
          <w:rFonts w:ascii="Tahoma" w:hAnsi="Tahoma" w:cs="Tahoma"/>
          <w:bCs/>
          <w:lang w:val="fr-FR"/>
        </w:rPr>
        <w:t>en Orient, la culture chevaleresque en Occident, nés parallèlement vers les VIII</w:t>
      </w:r>
      <w:r w:rsidR="00AB1EFC" w:rsidRPr="0043097F">
        <w:rPr>
          <w:rFonts w:ascii="Tahoma" w:hAnsi="Tahoma" w:cs="Tahoma"/>
          <w:bCs/>
          <w:vertAlign w:val="superscript"/>
          <w:lang w:val="fr-FR"/>
        </w:rPr>
        <w:t>e</w:t>
      </w:r>
      <w:r w:rsidR="00AB1EFC" w:rsidRPr="00AB1EFC">
        <w:rPr>
          <w:rFonts w:ascii="Tahoma" w:hAnsi="Tahoma" w:cs="Tahoma"/>
          <w:bCs/>
          <w:lang w:val="fr-FR"/>
        </w:rPr>
        <w:t>-IX</w:t>
      </w:r>
      <w:r w:rsidR="00AB1EFC" w:rsidRPr="0043097F">
        <w:rPr>
          <w:rFonts w:ascii="Tahoma" w:hAnsi="Tahoma" w:cs="Tahoma"/>
          <w:bCs/>
          <w:vertAlign w:val="superscript"/>
          <w:lang w:val="fr-FR"/>
        </w:rPr>
        <w:t>e</w:t>
      </w:r>
      <w:r w:rsidR="00AB1EFC" w:rsidRPr="00AB1EFC">
        <w:rPr>
          <w:rFonts w:ascii="Tahoma" w:hAnsi="Tahoma" w:cs="Tahoma"/>
          <w:bCs/>
          <w:lang w:val="fr-FR"/>
        </w:rPr>
        <w:t xml:space="preserve"> siècles et puisant à des sources en partie communes, ont tissé tout au long du Moyen</w:t>
      </w:r>
      <w:r w:rsidR="0043097F">
        <w:rPr>
          <w:rFonts w:ascii="Tahoma" w:hAnsi="Tahoma" w:cs="Tahoma"/>
          <w:bCs/>
          <w:lang w:val="fr-FR"/>
        </w:rPr>
        <w:t xml:space="preserve"> </w:t>
      </w:r>
      <w:r w:rsidR="0043097F" w:rsidRPr="00337F99">
        <w:rPr>
          <w:rFonts w:ascii="Tahoma" w:hAnsi="Tahoma" w:cs="Tahoma"/>
          <w:bCs/>
          <w:lang w:val="fr-FR"/>
        </w:rPr>
        <w:t>Âge</w:t>
      </w:r>
      <w:r w:rsidR="00AB1EFC" w:rsidRPr="00AB1EFC">
        <w:rPr>
          <w:rFonts w:ascii="Tahoma" w:hAnsi="Tahoma" w:cs="Tahoma"/>
          <w:bCs/>
          <w:lang w:val="fr-FR"/>
        </w:rPr>
        <w:t xml:space="preserve"> des liens multiples, encore largement méconnus. </w:t>
      </w:r>
    </w:p>
    <w:p w14:paraId="72D6D0DF" w14:textId="77777777" w:rsidR="00AB1EFC" w:rsidRPr="00AB1EFC" w:rsidRDefault="00AB1EFC" w:rsidP="00AB1EFC">
      <w:pPr>
        <w:spacing w:line="276" w:lineRule="auto"/>
        <w:jc w:val="both"/>
        <w:rPr>
          <w:rFonts w:ascii="Tahoma" w:hAnsi="Tahoma" w:cs="Tahoma"/>
          <w:bCs/>
          <w:lang w:val="fr-FR"/>
        </w:rPr>
      </w:pPr>
      <w:r w:rsidRPr="00AB1EFC">
        <w:rPr>
          <w:rFonts w:ascii="Tahoma" w:hAnsi="Tahoma" w:cs="Tahoma"/>
          <w:bCs/>
          <w:lang w:val="fr-FR"/>
        </w:rPr>
        <w:t xml:space="preserve">Ce ne sont pas seulement les principales armes défensives ou offensives mais aussi les valeurs et les ambitions, les substituts et les formes parallèles à l’affrontement guerrier, les épopées, romans et poèmes mêlant récits de prouesses au combat et d’aventures amoureuses qu’il est fascinant de mettre en regard, sans nier les différences mais en observant les rencontres avec les nuances nécessaires. </w:t>
      </w:r>
    </w:p>
    <w:p w14:paraId="6823DF11" w14:textId="6BE8554E" w:rsidR="00915362" w:rsidRPr="00915362" w:rsidRDefault="00AB1EFC" w:rsidP="00AB1EFC">
      <w:pPr>
        <w:spacing w:line="276" w:lineRule="auto"/>
        <w:jc w:val="both"/>
        <w:rPr>
          <w:rFonts w:ascii="Tahoma" w:hAnsi="Tahoma" w:cs="Tahoma"/>
          <w:bCs/>
          <w:lang w:val="fr-FR"/>
        </w:rPr>
      </w:pPr>
      <w:r w:rsidRPr="00AB1EFC">
        <w:rPr>
          <w:rFonts w:ascii="Tahoma" w:hAnsi="Tahoma" w:cs="Tahoma"/>
          <w:bCs/>
          <w:lang w:val="fr-FR"/>
        </w:rPr>
        <w:t>Grâce aux prêts généreux du musée de Cluny</w:t>
      </w:r>
      <w:r w:rsidR="00160A69">
        <w:rPr>
          <w:rFonts w:ascii="Tahoma" w:hAnsi="Tahoma" w:cs="Tahoma"/>
          <w:bCs/>
          <w:lang w:val="fr-FR"/>
        </w:rPr>
        <w:t xml:space="preserve"> - </w:t>
      </w:r>
      <w:r w:rsidR="00160A69" w:rsidRPr="00915362">
        <w:rPr>
          <w:rFonts w:ascii="Tahoma" w:hAnsi="Tahoma" w:cs="Tahoma"/>
          <w:bCs/>
          <w:lang w:val="fr-FR"/>
        </w:rPr>
        <w:t>musée national du Moyen Âge</w:t>
      </w:r>
      <w:r w:rsidRPr="00AB1EFC">
        <w:rPr>
          <w:rFonts w:ascii="Tahoma" w:hAnsi="Tahoma" w:cs="Tahoma"/>
          <w:bCs/>
          <w:lang w:val="fr-FR"/>
        </w:rPr>
        <w:t xml:space="preserve"> et d’une dizaine d’institutions internationales prestigieuses, l’exposition offre une synthèse novatrice entre deux univers qui n’avaient jamais fait l’objet de regards croisés, relevant le défi de donner aux objets et aux images soigneusement choisis le soin de relater une histoire séculaire, qui n’est pas seulement celle d’affrontements mais aussi de rencontres et de cultures en partage.</w:t>
      </w:r>
      <w:r w:rsidR="00915362" w:rsidRPr="00915362">
        <w:rPr>
          <w:rFonts w:ascii="Tahoma" w:hAnsi="Tahoma" w:cs="Tahoma"/>
          <w:bCs/>
          <w:lang w:val="fr-FR"/>
        </w:rPr>
        <w:t> »</w:t>
      </w:r>
    </w:p>
    <w:p w14:paraId="43317CF2" w14:textId="74F44F06" w:rsidR="00915362" w:rsidRPr="00915362" w:rsidRDefault="00915362" w:rsidP="00915362">
      <w:pPr>
        <w:spacing w:line="276" w:lineRule="auto"/>
        <w:jc w:val="both"/>
        <w:rPr>
          <w:rFonts w:ascii="Tahoma" w:hAnsi="Tahoma" w:cs="Tahoma"/>
          <w:bCs/>
          <w:lang w:val="fr-FR"/>
        </w:rPr>
      </w:pPr>
      <w:r w:rsidRPr="00915362">
        <w:rPr>
          <w:rFonts w:ascii="Tahoma" w:hAnsi="Tahoma" w:cs="Tahoma"/>
          <w:b/>
          <w:bCs/>
          <w:lang w:val="fr-FR"/>
        </w:rPr>
        <w:t>Le Dr. Souraya Noujaim, directrice scientifique et responsable des expositions et des collections au Louvre Abu Dhabi</w:t>
      </w:r>
      <w:r w:rsidRPr="00915362">
        <w:rPr>
          <w:rFonts w:ascii="Tahoma" w:hAnsi="Tahoma" w:cs="Tahoma"/>
          <w:bCs/>
          <w:lang w:val="fr-FR"/>
        </w:rPr>
        <w:t xml:space="preserve"> ajoute : « </w:t>
      </w:r>
      <w:r w:rsidR="00622023" w:rsidRPr="00622023">
        <w:rPr>
          <w:rFonts w:ascii="Tahoma" w:hAnsi="Tahoma" w:cs="Tahoma"/>
          <w:bCs/>
          <w:lang w:val="fr-FR"/>
        </w:rPr>
        <w:t>Cette exposition inédite met en regard les cultures chevaleresques médiévales orientales et occidentale. Elle s’inscrit dans la programmation saisonnière des expositions du Louvre Abu Dhabi, qui illustre et questionne les grands mouvements de l’histoire des arts et des sociétés, tout en développant des passerelles avec les galeries permanentes du musée.</w:t>
      </w:r>
      <w:r w:rsidRPr="00915362">
        <w:rPr>
          <w:rFonts w:ascii="Tahoma" w:hAnsi="Tahoma" w:cs="Tahoma"/>
          <w:bCs/>
          <w:lang w:val="fr-FR"/>
        </w:rPr>
        <w:t> »</w:t>
      </w:r>
    </w:p>
    <w:p w14:paraId="154DFBEF" w14:textId="76A0BCB4"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 xml:space="preserve">Deux armures monumentales accueillent les spectateurs pénétrant dans l’exposition, une spectaculaire </w:t>
      </w:r>
      <w:r w:rsidRPr="00915362">
        <w:rPr>
          <w:rFonts w:ascii="Tahoma" w:hAnsi="Tahoma" w:cs="Tahoma"/>
          <w:bCs/>
          <w:i/>
          <w:iCs/>
          <w:lang w:val="fr-FR"/>
        </w:rPr>
        <w:t>Armure de cheval</w:t>
      </w:r>
      <w:r w:rsidRPr="00915362">
        <w:rPr>
          <w:rFonts w:ascii="Tahoma" w:hAnsi="Tahoma" w:cs="Tahoma"/>
          <w:bCs/>
          <w:lang w:val="fr-FR"/>
        </w:rPr>
        <w:t xml:space="preserve"> ottomane, appartenant aux collections du Louvre Abu Dhabi, et un ensemble européen dit </w:t>
      </w:r>
      <w:r w:rsidRPr="00915362">
        <w:rPr>
          <w:rFonts w:ascii="Tahoma" w:hAnsi="Tahoma" w:cs="Tahoma"/>
          <w:bCs/>
          <w:i/>
          <w:iCs/>
          <w:lang w:val="fr-FR"/>
        </w:rPr>
        <w:t>Armures composites de cavalier et de cheval</w:t>
      </w:r>
      <w:r w:rsidRPr="00915362">
        <w:rPr>
          <w:rFonts w:ascii="Tahoma" w:hAnsi="Tahoma" w:cs="Tahoma"/>
          <w:bCs/>
          <w:lang w:val="fr-FR"/>
        </w:rPr>
        <w:t xml:space="preserve"> du premier quart du 16</w:t>
      </w:r>
      <w:r w:rsidRPr="00915362">
        <w:rPr>
          <w:rFonts w:ascii="Tahoma" w:hAnsi="Tahoma" w:cs="Tahoma"/>
          <w:bCs/>
          <w:vertAlign w:val="superscript"/>
          <w:lang w:val="fr-FR"/>
        </w:rPr>
        <w:t>e</w:t>
      </w:r>
      <w:r w:rsidRPr="00915362">
        <w:rPr>
          <w:rFonts w:ascii="Tahoma" w:hAnsi="Tahoma" w:cs="Tahoma"/>
          <w:bCs/>
          <w:lang w:val="fr-FR"/>
        </w:rPr>
        <w:t xml:space="preserve"> siècle, prêt du </w:t>
      </w:r>
      <w:r w:rsidR="00C966A5">
        <w:rPr>
          <w:rFonts w:ascii="Tahoma" w:hAnsi="Tahoma" w:cs="Tahoma"/>
          <w:bCs/>
          <w:lang w:val="fr-FR"/>
        </w:rPr>
        <w:t>m</w:t>
      </w:r>
      <w:r w:rsidRPr="00915362">
        <w:rPr>
          <w:rFonts w:ascii="Tahoma" w:hAnsi="Tahoma" w:cs="Tahoma"/>
          <w:bCs/>
          <w:lang w:val="fr-FR"/>
        </w:rPr>
        <w:t>usée de l’armée. Cette double présentation vise à immerger les visiteurs dans les thématiques-clés que l’on retrouve tout au long de l’exposition : les cavaliers et leurs montures mais aussi l’art du combat et l’art de la chevalerie.</w:t>
      </w:r>
    </w:p>
    <w:p w14:paraId="6BC6BE9D" w14:textId="1B4323C2" w:rsidR="00915362" w:rsidRPr="00915362" w:rsidRDefault="00915362" w:rsidP="00425C35">
      <w:pPr>
        <w:spacing w:line="276" w:lineRule="auto"/>
        <w:jc w:val="both"/>
        <w:rPr>
          <w:rFonts w:ascii="Tahoma" w:hAnsi="Tahoma" w:cs="Tahoma"/>
          <w:bCs/>
          <w:lang w:val="fr-FR"/>
        </w:rPr>
      </w:pPr>
      <w:r w:rsidRPr="00915362">
        <w:rPr>
          <w:rFonts w:ascii="Tahoma" w:hAnsi="Tahoma" w:cs="Tahoma"/>
          <w:bCs/>
          <w:lang w:val="fr-FR"/>
        </w:rPr>
        <w:t xml:space="preserve">La première séquence de l’exposition suit l’émergence et le développement de la </w:t>
      </w:r>
      <w:r w:rsidR="003F4674" w:rsidRPr="003F4674">
        <w:rPr>
          <w:rFonts w:ascii="Tahoma" w:hAnsi="Tahoma" w:cs="Tahoma"/>
          <w:bCs/>
          <w:i/>
          <w:iCs/>
          <w:lang w:val="fr-FR"/>
        </w:rPr>
        <w:t>Furūsiyya</w:t>
      </w:r>
      <w:r w:rsidRPr="00915362">
        <w:rPr>
          <w:rFonts w:ascii="Tahoma" w:hAnsi="Tahoma" w:cs="Tahoma"/>
          <w:bCs/>
          <w:lang w:val="fr-FR"/>
        </w:rPr>
        <w:t xml:space="preserve"> en Orient et ses premières rencontres avec l’art de la </w:t>
      </w:r>
      <w:r w:rsidRPr="003F4674">
        <w:rPr>
          <w:rFonts w:ascii="Tahoma" w:hAnsi="Tahoma" w:cs="Tahoma"/>
          <w:bCs/>
          <w:lang w:val="fr-FR"/>
        </w:rPr>
        <w:t>chevalerie</w:t>
      </w:r>
      <w:r w:rsidRPr="00C966A5">
        <w:rPr>
          <w:rFonts w:ascii="Tahoma" w:hAnsi="Tahoma" w:cs="Tahoma"/>
          <w:bCs/>
          <w:lang w:val="fr-FR"/>
        </w:rPr>
        <w:t xml:space="preserve"> </w:t>
      </w:r>
      <w:r w:rsidRPr="00915362">
        <w:rPr>
          <w:rFonts w:ascii="Tahoma" w:hAnsi="Tahoma" w:cs="Tahoma"/>
          <w:bCs/>
          <w:lang w:val="fr-FR"/>
        </w:rPr>
        <w:t xml:space="preserve">en Occident, elle retrace les origines de ce </w:t>
      </w:r>
      <w:r w:rsidRPr="00915362">
        <w:rPr>
          <w:rFonts w:ascii="Tahoma" w:hAnsi="Tahoma" w:cs="Tahoma"/>
          <w:bCs/>
          <w:lang w:val="fr-FR"/>
        </w:rPr>
        <w:lastRenderedPageBreak/>
        <w:t xml:space="preserve">phénomène culturel jusqu’au monde antique. Des </w:t>
      </w:r>
      <w:r w:rsidR="00C966A5">
        <w:rPr>
          <w:rFonts w:ascii="Tahoma" w:hAnsi="Tahoma" w:cs="Tahoma"/>
          <w:bCs/>
          <w:lang w:val="fr-FR"/>
        </w:rPr>
        <w:t>œuvres</w:t>
      </w:r>
      <w:r w:rsidR="003C6D98" w:rsidRPr="00915362">
        <w:rPr>
          <w:rFonts w:ascii="Tahoma" w:hAnsi="Tahoma" w:cs="Tahoma"/>
          <w:bCs/>
          <w:lang w:val="fr-FR"/>
        </w:rPr>
        <w:t xml:space="preserve"> </w:t>
      </w:r>
      <w:r w:rsidRPr="00915362">
        <w:rPr>
          <w:rFonts w:ascii="Tahoma" w:hAnsi="Tahoma" w:cs="Tahoma"/>
          <w:bCs/>
          <w:lang w:val="fr-FR"/>
        </w:rPr>
        <w:t xml:space="preserve">tel que le </w:t>
      </w:r>
      <w:r w:rsidRPr="00915362">
        <w:rPr>
          <w:rFonts w:ascii="Tahoma" w:hAnsi="Tahoma" w:cs="Tahoma"/>
          <w:bCs/>
          <w:i/>
          <w:iCs/>
          <w:lang w:val="fr-FR"/>
        </w:rPr>
        <w:t xml:space="preserve">Camée de </w:t>
      </w:r>
      <w:proofErr w:type="spellStart"/>
      <w:r w:rsidRPr="00915362">
        <w:rPr>
          <w:rFonts w:ascii="Tahoma" w:hAnsi="Tahoma" w:cs="Tahoma"/>
          <w:bCs/>
          <w:i/>
          <w:iCs/>
          <w:lang w:val="fr-FR"/>
        </w:rPr>
        <w:t>Shapur</w:t>
      </w:r>
      <w:proofErr w:type="spellEnd"/>
      <w:r w:rsidRPr="00915362">
        <w:rPr>
          <w:rFonts w:ascii="Tahoma" w:hAnsi="Tahoma" w:cs="Tahoma"/>
          <w:bCs/>
          <w:i/>
          <w:iCs/>
          <w:lang w:val="fr-FR"/>
        </w:rPr>
        <w:t xml:space="preserve"> et Valérien</w:t>
      </w:r>
      <w:r w:rsidRPr="00915362">
        <w:rPr>
          <w:rFonts w:ascii="Tahoma" w:hAnsi="Tahoma" w:cs="Tahoma"/>
          <w:bCs/>
          <w:lang w:val="fr-FR"/>
        </w:rPr>
        <w:t xml:space="preserve"> (Iran, 260, Bibliothèque nationale de France) montrant la rencontre entre deux guerriers, l’un oriental, l’autre occidental, symbolisent la thématique de l’exposition. La </w:t>
      </w:r>
      <w:r w:rsidRPr="00915362">
        <w:rPr>
          <w:rFonts w:ascii="Tahoma" w:hAnsi="Tahoma" w:cs="Tahoma"/>
          <w:bCs/>
          <w:i/>
          <w:iCs/>
          <w:lang w:val="fr-FR"/>
        </w:rPr>
        <w:t>Coupe au cavalier</w:t>
      </w:r>
      <w:r w:rsidRPr="00915362">
        <w:rPr>
          <w:rFonts w:ascii="Tahoma" w:hAnsi="Tahoma" w:cs="Tahoma"/>
          <w:bCs/>
          <w:lang w:val="fr-FR"/>
        </w:rPr>
        <w:t xml:space="preserve"> (Iran, 10</w:t>
      </w:r>
      <w:r w:rsidRPr="00915362">
        <w:rPr>
          <w:rFonts w:ascii="Tahoma" w:hAnsi="Tahoma" w:cs="Tahoma"/>
          <w:bCs/>
          <w:vertAlign w:val="superscript"/>
          <w:lang w:val="fr-FR"/>
        </w:rPr>
        <w:t>e</w:t>
      </w:r>
      <w:r w:rsidRPr="00915362">
        <w:rPr>
          <w:rFonts w:ascii="Tahoma" w:hAnsi="Tahoma" w:cs="Tahoma"/>
          <w:bCs/>
          <w:lang w:val="fr-FR"/>
        </w:rPr>
        <w:t>-11</w:t>
      </w:r>
      <w:r w:rsidRPr="00915362">
        <w:rPr>
          <w:rFonts w:ascii="Tahoma" w:hAnsi="Tahoma" w:cs="Tahoma"/>
          <w:bCs/>
          <w:vertAlign w:val="superscript"/>
          <w:lang w:val="fr-FR"/>
        </w:rPr>
        <w:t>e</w:t>
      </w:r>
      <w:r w:rsidRPr="00915362">
        <w:rPr>
          <w:rFonts w:ascii="Tahoma" w:hAnsi="Tahoma" w:cs="Tahoma"/>
          <w:bCs/>
          <w:lang w:val="fr-FR"/>
        </w:rPr>
        <w:t xml:space="preserve"> siècle, musée du Louvre) – l’une des premières représentations d’un cavalier islamique – souligne quant à elle certains motifs-clés tels que le cavalier en armes, le service du roi, les valeurs de </w:t>
      </w:r>
      <w:r w:rsidR="00C966A5" w:rsidRPr="00915362">
        <w:rPr>
          <w:rFonts w:ascii="Tahoma" w:hAnsi="Tahoma" w:cs="Tahoma"/>
          <w:bCs/>
          <w:lang w:val="fr-FR"/>
        </w:rPr>
        <w:t>la chevalerie</w:t>
      </w:r>
      <w:r w:rsidRPr="00915362">
        <w:rPr>
          <w:rFonts w:ascii="Tahoma" w:hAnsi="Tahoma" w:cs="Tahoma"/>
          <w:bCs/>
          <w:lang w:val="fr-FR"/>
        </w:rPr>
        <w:t> tels le courage, la force, la loyauté.</w:t>
      </w:r>
    </w:p>
    <w:p w14:paraId="428B6F1E" w14:textId="5FDC35B9"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 xml:space="preserve">La deuxième séquence de l’exposition fait découvrir des objets relatifs aux joutes, à l’art de la guerre, aux armes de défense et d’attaque et à l’équipement du cheval. Les traités consacrés à la guerre et aux techniques de combat étaient nombreux dans les deux cultures et la juxtaposition du manuscrit arabe </w:t>
      </w:r>
      <w:proofErr w:type="spellStart"/>
      <w:r w:rsidRPr="00915362">
        <w:rPr>
          <w:rFonts w:ascii="Tahoma" w:hAnsi="Tahoma" w:cs="Tahoma"/>
          <w:bCs/>
          <w:i/>
          <w:iCs/>
          <w:lang w:val="fr-FR"/>
        </w:rPr>
        <w:t>Kitāb</w:t>
      </w:r>
      <w:proofErr w:type="spellEnd"/>
      <w:r w:rsidRPr="00915362">
        <w:rPr>
          <w:rFonts w:ascii="Tahoma" w:hAnsi="Tahoma" w:cs="Tahoma"/>
          <w:bCs/>
          <w:i/>
          <w:iCs/>
          <w:lang w:val="fr-FR"/>
        </w:rPr>
        <w:t xml:space="preserve"> al-</w:t>
      </w:r>
      <w:proofErr w:type="spellStart"/>
      <w:r w:rsidRPr="00915362">
        <w:rPr>
          <w:rFonts w:ascii="Tahoma" w:hAnsi="Tahoma" w:cs="Tahoma"/>
          <w:bCs/>
          <w:i/>
          <w:iCs/>
          <w:lang w:val="fr-FR"/>
        </w:rPr>
        <w:t>makhzūn</w:t>
      </w:r>
      <w:proofErr w:type="spellEnd"/>
      <w:r w:rsidRPr="00915362">
        <w:rPr>
          <w:rFonts w:ascii="Tahoma" w:hAnsi="Tahoma" w:cs="Tahoma"/>
          <w:bCs/>
          <w:i/>
          <w:iCs/>
          <w:lang w:val="fr-FR"/>
        </w:rPr>
        <w:t xml:space="preserve"> </w:t>
      </w:r>
      <w:proofErr w:type="spellStart"/>
      <w:r w:rsidRPr="00915362">
        <w:rPr>
          <w:rFonts w:ascii="Tahoma" w:hAnsi="Tahoma" w:cs="Tahoma"/>
          <w:bCs/>
          <w:i/>
          <w:iCs/>
          <w:lang w:val="fr-FR"/>
        </w:rPr>
        <w:t>jāmi</w:t>
      </w:r>
      <w:proofErr w:type="spellEnd"/>
      <w:r w:rsidRPr="00915362">
        <w:rPr>
          <w:rFonts w:ascii="Tahoma" w:hAnsi="Tahoma" w:cs="Tahoma"/>
          <w:bCs/>
          <w:i/>
          <w:iCs/>
          <w:lang w:val="fr-FR"/>
        </w:rPr>
        <w:t>’ al-</w:t>
      </w:r>
      <w:proofErr w:type="spellStart"/>
      <w:r w:rsidRPr="00915362">
        <w:rPr>
          <w:rFonts w:ascii="Tahoma" w:hAnsi="Tahoma" w:cs="Tahoma"/>
          <w:bCs/>
          <w:i/>
          <w:iCs/>
          <w:lang w:val="fr-FR"/>
        </w:rPr>
        <w:t>funūn</w:t>
      </w:r>
      <w:proofErr w:type="spellEnd"/>
      <w:r w:rsidRPr="00915362">
        <w:rPr>
          <w:rFonts w:ascii="Tahoma" w:hAnsi="Tahoma" w:cs="Tahoma"/>
          <w:bCs/>
          <w:lang w:val="fr-FR"/>
        </w:rPr>
        <w:t xml:space="preserve"> (</w:t>
      </w:r>
      <w:r w:rsidRPr="00915362">
        <w:rPr>
          <w:rFonts w:ascii="Tahoma" w:hAnsi="Tahoma" w:cs="Tahoma"/>
          <w:bCs/>
          <w:i/>
          <w:iCs/>
          <w:lang w:val="fr-FR"/>
        </w:rPr>
        <w:t>Le Trésor où se trouvent réunis les divers arts</w:t>
      </w:r>
      <w:r w:rsidRPr="00915362">
        <w:rPr>
          <w:rFonts w:ascii="Tahoma" w:hAnsi="Tahoma" w:cs="Tahoma"/>
          <w:bCs/>
          <w:lang w:val="fr-FR"/>
        </w:rPr>
        <w:t xml:space="preserve">, Bibliothèque nationale de France) et du </w:t>
      </w:r>
      <w:r w:rsidRPr="00915362">
        <w:rPr>
          <w:rFonts w:ascii="Tahoma" w:hAnsi="Tahoma" w:cs="Tahoma"/>
          <w:bCs/>
          <w:i/>
          <w:iCs/>
          <w:lang w:val="fr-FR"/>
        </w:rPr>
        <w:t>Traité de combat</w:t>
      </w:r>
      <w:r w:rsidRPr="00915362">
        <w:rPr>
          <w:rFonts w:ascii="Tahoma" w:hAnsi="Tahoma" w:cs="Tahoma"/>
          <w:bCs/>
          <w:lang w:val="fr-FR"/>
        </w:rPr>
        <w:t xml:space="preserve"> français (musée de Cluny</w:t>
      </w:r>
      <w:r w:rsidR="00580107">
        <w:rPr>
          <w:rFonts w:ascii="Tahoma" w:hAnsi="Tahoma" w:cs="Tahoma"/>
          <w:bCs/>
          <w:lang w:val="fr-FR"/>
        </w:rPr>
        <w:t xml:space="preserve"> </w:t>
      </w:r>
      <w:r w:rsidRPr="00915362">
        <w:rPr>
          <w:rFonts w:ascii="Tahoma" w:hAnsi="Tahoma" w:cs="Tahoma"/>
          <w:bCs/>
          <w:lang w:val="fr-FR"/>
        </w:rPr>
        <w:t>-</w:t>
      </w:r>
      <w:r w:rsidR="00580107">
        <w:rPr>
          <w:rFonts w:ascii="Tahoma" w:hAnsi="Tahoma" w:cs="Tahoma"/>
          <w:bCs/>
          <w:lang w:val="fr-FR"/>
        </w:rPr>
        <w:t xml:space="preserve"> </w:t>
      </w:r>
      <w:r w:rsidRPr="00915362">
        <w:rPr>
          <w:rFonts w:ascii="Tahoma" w:hAnsi="Tahoma" w:cs="Tahoma"/>
          <w:bCs/>
          <w:lang w:val="fr-FR"/>
        </w:rPr>
        <w:t xml:space="preserve">musée national du Moyen Âge) permet aux visiteurs d’appréhender les similarités et les différences d’approches lors des combats et des joutes. Plusieurs casques et armures de chevaliers venus de l’Empire ottoman, d’Égypte et d’Europe, des enluminures montrant des guerriers combattants et des reliefs sculptés aident le visiteur à comprendre l’équipement des chevaliers. Présentés côte à côte, le </w:t>
      </w:r>
      <w:r w:rsidRPr="00915362">
        <w:rPr>
          <w:rFonts w:ascii="Tahoma" w:hAnsi="Tahoma" w:cs="Tahoma"/>
          <w:bCs/>
          <w:i/>
          <w:iCs/>
          <w:lang w:val="fr-FR"/>
        </w:rPr>
        <w:t>Casque du</w:t>
      </w:r>
      <w:r w:rsidRPr="00915362">
        <w:rPr>
          <w:rFonts w:ascii="Tahoma" w:hAnsi="Tahoma" w:cs="Tahoma"/>
          <w:bCs/>
          <w:lang w:val="fr-FR"/>
        </w:rPr>
        <w:t xml:space="preserve"> </w:t>
      </w:r>
      <w:r w:rsidRPr="00915362">
        <w:rPr>
          <w:rFonts w:ascii="Tahoma" w:hAnsi="Tahoma" w:cs="Tahoma"/>
          <w:bCs/>
          <w:i/>
          <w:iCs/>
          <w:lang w:val="fr-FR"/>
        </w:rPr>
        <w:t>sultan ottoman Bayezid II</w:t>
      </w:r>
      <w:r w:rsidRPr="00915362">
        <w:rPr>
          <w:rFonts w:ascii="Tahoma" w:hAnsi="Tahoma" w:cs="Tahoma"/>
          <w:bCs/>
          <w:lang w:val="fr-FR"/>
        </w:rPr>
        <w:t xml:space="preserve"> (Musée de l’armée) et le </w:t>
      </w:r>
      <w:r w:rsidRPr="00915362">
        <w:rPr>
          <w:rFonts w:ascii="Tahoma" w:hAnsi="Tahoma" w:cs="Tahoma"/>
          <w:bCs/>
          <w:i/>
          <w:iCs/>
          <w:lang w:val="fr-FR"/>
        </w:rPr>
        <w:t>Bassinet avec mézail</w:t>
      </w:r>
      <w:r w:rsidRPr="00915362">
        <w:rPr>
          <w:rFonts w:ascii="Tahoma" w:hAnsi="Tahoma" w:cs="Tahoma"/>
          <w:bCs/>
          <w:lang w:val="fr-FR"/>
        </w:rPr>
        <w:t xml:space="preserve"> occidental (musée de Cluny</w:t>
      </w:r>
      <w:r w:rsidR="00580107">
        <w:rPr>
          <w:rFonts w:ascii="Tahoma" w:hAnsi="Tahoma" w:cs="Tahoma"/>
          <w:bCs/>
          <w:lang w:val="fr-FR"/>
        </w:rPr>
        <w:t xml:space="preserve"> </w:t>
      </w:r>
      <w:r w:rsidRPr="00915362">
        <w:rPr>
          <w:rFonts w:ascii="Tahoma" w:hAnsi="Tahoma" w:cs="Tahoma"/>
          <w:bCs/>
          <w:lang w:val="fr-FR"/>
        </w:rPr>
        <w:t>-</w:t>
      </w:r>
      <w:r w:rsidR="00580107">
        <w:rPr>
          <w:rFonts w:ascii="Tahoma" w:hAnsi="Tahoma" w:cs="Tahoma"/>
          <w:bCs/>
          <w:lang w:val="fr-FR"/>
        </w:rPr>
        <w:t xml:space="preserve"> </w:t>
      </w:r>
      <w:r w:rsidRPr="00915362">
        <w:rPr>
          <w:rFonts w:ascii="Tahoma" w:hAnsi="Tahoma" w:cs="Tahoma"/>
          <w:bCs/>
          <w:lang w:val="fr-FR"/>
        </w:rPr>
        <w:t xml:space="preserve">musée national du Moyen Âge) donnent une idée des différents moyens défensifs adaptés aux armes et aux techniques de combat dans les deux cultures. </w:t>
      </w:r>
    </w:p>
    <w:p w14:paraId="7A32A2E5"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La dernière séquence de l’exposition retrace l’évolution de la culture de la chevalerie et souligne les points communs entre les mondes islamique et occidental. Différents objets mettent en lumière les points de rencontre entre l’Orient et l’Occident, depuis les divertissements tels que la fauconnerie, les joutes, les parades de cavaliers jusqu’à l’hippologie (étude des chevaux) et au jeu d’échecs. Un coffret sculpté parisien du 14</w:t>
      </w:r>
      <w:r w:rsidRPr="00915362">
        <w:rPr>
          <w:rFonts w:ascii="Tahoma" w:hAnsi="Tahoma" w:cs="Tahoma"/>
          <w:bCs/>
          <w:vertAlign w:val="superscript"/>
          <w:lang w:val="fr-FR"/>
        </w:rPr>
        <w:t>e</w:t>
      </w:r>
      <w:r w:rsidRPr="00915362">
        <w:rPr>
          <w:rFonts w:ascii="Tahoma" w:hAnsi="Tahoma" w:cs="Tahoma"/>
          <w:bCs/>
          <w:lang w:val="fr-FR"/>
        </w:rPr>
        <w:t xml:space="preserve"> siècle décoré de scènes de romans courtois (prêt du musée du Louvre) montrant un tournoi et diverses activités de cour, tout comme un manuscrit représentant la livraison d’un jeu d’échecs par les envoyés du roi des Indes (Iran, 15</w:t>
      </w:r>
      <w:r w:rsidRPr="00915362">
        <w:rPr>
          <w:rFonts w:ascii="Tahoma" w:hAnsi="Tahoma" w:cs="Tahoma"/>
          <w:bCs/>
          <w:vertAlign w:val="superscript"/>
          <w:lang w:val="fr-FR"/>
        </w:rPr>
        <w:t>e</w:t>
      </w:r>
      <w:r w:rsidRPr="00915362">
        <w:rPr>
          <w:rFonts w:ascii="Tahoma" w:hAnsi="Tahoma" w:cs="Tahoma"/>
          <w:bCs/>
          <w:lang w:val="fr-FR"/>
        </w:rPr>
        <w:t xml:space="preserve"> siècle, Bibliothèque nationale de France) évoquent des épisodes de la vie des chevaliers à la cour et éclairent les diverses manifestations de la culture de la chevalerie au Moyen-Orient et en Europe. </w:t>
      </w:r>
    </w:p>
    <w:p w14:paraId="03A01299"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 xml:space="preserve">Un riche programme culturel conçu par Ruth </w:t>
      </w:r>
      <w:proofErr w:type="spellStart"/>
      <w:r w:rsidRPr="00915362">
        <w:rPr>
          <w:rFonts w:ascii="Tahoma" w:hAnsi="Tahoma" w:cs="Tahoma"/>
          <w:bCs/>
          <w:lang w:val="fr-FR"/>
        </w:rPr>
        <w:t>MacKenzie</w:t>
      </w:r>
      <w:proofErr w:type="spellEnd"/>
      <w:r w:rsidRPr="00915362">
        <w:rPr>
          <w:rFonts w:ascii="Tahoma" w:hAnsi="Tahoma" w:cs="Tahoma"/>
          <w:bCs/>
          <w:lang w:val="fr-FR"/>
        </w:rPr>
        <w:t xml:space="preserve"> accompagne l’exposition et met l’accent sur la culture contemporain vue à travers les traditions médiévales, et réciproquement. </w:t>
      </w:r>
    </w:p>
    <w:p w14:paraId="2EF61E2C"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 xml:space="preserve">Le travail de l’artiste contemporain égyptien </w:t>
      </w:r>
      <w:proofErr w:type="spellStart"/>
      <w:r w:rsidRPr="00915362">
        <w:rPr>
          <w:rFonts w:ascii="Tahoma" w:hAnsi="Tahoma" w:cs="Tahoma"/>
          <w:bCs/>
          <w:lang w:val="fr-FR"/>
        </w:rPr>
        <w:t>Wael</w:t>
      </w:r>
      <w:proofErr w:type="spellEnd"/>
      <w:r w:rsidRPr="00915362">
        <w:rPr>
          <w:rFonts w:ascii="Tahoma" w:hAnsi="Tahoma" w:cs="Tahoma"/>
          <w:bCs/>
          <w:lang w:val="fr-FR"/>
        </w:rPr>
        <w:t xml:space="preserve"> </w:t>
      </w:r>
      <w:proofErr w:type="spellStart"/>
      <w:r w:rsidRPr="00915362">
        <w:rPr>
          <w:rFonts w:ascii="Tahoma" w:hAnsi="Tahoma" w:cs="Tahoma"/>
          <w:bCs/>
          <w:lang w:val="fr-FR"/>
        </w:rPr>
        <w:t>Shawky</w:t>
      </w:r>
      <w:proofErr w:type="spellEnd"/>
      <w:r w:rsidRPr="00915362">
        <w:rPr>
          <w:rFonts w:ascii="Tahoma" w:hAnsi="Tahoma" w:cs="Tahoma"/>
          <w:bCs/>
          <w:lang w:val="fr-FR"/>
        </w:rPr>
        <w:t xml:space="preserve"> explore les croisades d’un point de vue arabe. Questionnant les récits historiques traditionnels, sa vaste performance de théâtre musical, </w:t>
      </w:r>
      <w:r w:rsidRPr="00915362">
        <w:rPr>
          <w:rFonts w:ascii="Tahoma" w:hAnsi="Tahoma" w:cs="Tahoma"/>
          <w:bCs/>
          <w:i/>
          <w:iCs/>
          <w:lang w:val="fr-FR"/>
        </w:rPr>
        <w:t>La Chanson de Roland</w:t>
      </w:r>
      <w:r w:rsidRPr="00915362">
        <w:rPr>
          <w:rFonts w:ascii="Tahoma" w:hAnsi="Tahoma" w:cs="Tahoma"/>
          <w:bCs/>
          <w:lang w:val="fr-FR"/>
        </w:rPr>
        <w:t xml:space="preserve">, s’inspire du </w:t>
      </w:r>
      <w:r w:rsidRPr="00915362">
        <w:rPr>
          <w:rFonts w:ascii="Tahoma" w:hAnsi="Tahoma" w:cs="Tahoma"/>
          <w:bCs/>
          <w:i/>
          <w:iCs/>
          <w:lang w:val="fr-FR"/>
        </w:rPr>
        <w:t>Cabaret Croisades</w:t>
      </w:r>
      <w:r w:rsidRPr="00915362">
        <w:rPr>
          <w:rFonts w:ascii="Tahoma" w:hAnsi="Tahoma" w:cs="Tahoma"/>
          <w:bCs/>
          <w:lang w:val="fr-FR"/>
        </w:rPr>
        <w:t xml:space="preserve"> d’Amin Maalouf et s’enracine dans le poème épique français du 11</w:t>
      </w:r>
      <w:r w:rsidRPr="00915362">
        <w:rPr>
          <w:rFonts w:ascii="Tahoma" w:hAnsi="Tahoma" w:cs="Tahoma"/>
          <w:bCs/>
          <w:vertAlign w:val="superscript"/>
          <w:lang w:val="fr-FR"/>
        </w:rPr>
        <w:t>e</w:t>
      </w:r>
      <w:r w:rsidRPr="00915362">
        <w:rPr>
          <w:rFonts w:ascii="Tahoma" w:hAnsi="Tahoma" w:cs="Tahoma"/>
          <w:bCs/>
          <w:lang w:val="fr-FR"/>
        </w:rPr>
        <w:t>-12</w:t>
      </w:r>
      <w:r w:rsidRPr="00915362">
        <w:rPr>
          <w:rFonts w:ascii="Tahoma" w:hAnsi="Tahoma" w:cs="Tahoma"/>
          <w:bCs/>
          <w:vertAlign w:val="superscript"/>
          <w:lang w:val="fr-FR"/>
        </w:rPr>
        <w:t>e</w:t>
      </w:r>
      <w:r w:rsidRPr="00915362">
        <w:rPr>
          <w:rFonts w:ascii="Tahoma" w:hAnsi="Tahoma" w:cs="Tahoma"/>
          <w:bCs/>
          <w:lang w:val="fr-FR"/>
        </w:rPr>
        <w:t xml:space="preserve"> siècle à la gloire du règne et des conquêtes de l’empereur Charlemagne et de son neveu Roland. L’œuvre rassemble 20 chanteurs et musiciens </w:t>
      </w:r>
      <w:proofErr w:type="spellStart"/>
      <w:r w:rsidRPr="00915362">
        <w:rPr>
          <w:rFonts w:ascii="Tahoma" w:hAnsi="Tahoma" w:cs="Tahoma"/>
          <w:bCs/>
          <w:i/>
          <w:iCs/>
          <w:lang w:val="fr-FR"/>
        </w:rPr>
        <w:t>fidjeri</w:t>
      </w:r>
      <w:proofErr w:type="spellEnd"/>
      <w:r w:rsidRPr="00915362">
        <w:rPr>
          <w:rFonts w:ascii="Tahoma" w:hAnsi="Tahoma" w:cs="Tahoma"/>
          <w:bCs/>
          <w:i/>
          <w:iCs/>
          <w:lang w:val="fr-FR"/>
        </w:rPr>
        <w:t xml:space="preserve"> </w:t>
      </w:r>
      <w:r w:rsidRPr="00915362">
        <w:rPr>
          <w:rFonts w:ascii="Tahoma" w:hAnsi="Tahoma" w:cs="Tahoma"/>
          <w:bCs/>
          <w:lang w:val="fr-FR"/>
        </w:rPr>
        <w:t xml:space="preserve">de </w:t>
      </w:r>
      <w:proofErr w:type="spellStart"/>
      <w:r w:rsidRPr="00915362">
        <w:rPr>
          <w:rFonts w:ascii="Tahoma" w:hAnsi="Tahoma" w:cs="Tahoma"/>
          <w:bCs/>
          <w:lang w:val="fr-FR"/>
        </w:rPr>
        <w:t>Charjah</w:t>
      </w:r>
      <w:proofErr w:type="spellEnd"/>
      <w:r w:rsidRPr="00915362">
        <w:rPr>
          <w:rFonts w:ascii="Tahoma" w:hAnsi="Tahoma" w:cs="Tahoma"/>
          <w:bCs/>
          <w:lang w:val="fr-FR"/>
        </w:rPr>
        <w:t xml:space="preserve"> et du </w:t>
      </w:r>
      <w:proofErr w:type="spellStart"/>
      <w:r w:rsidRPr="00915362">
        <w:rPr>
          <w:rFonts w:ascii="Tahoma" w:hAnsi="Tahoma" w:cs="Tahoma"/>
          <w:bCs/>
          <w:lang w:val="fr-FR"/>
        </w:rPr>
        <w:t>Bahrein</w:t>
      </w:r>
      <w:proofErr w:type="spellEnd"/>
      <w:r w:rsidRPr="00915362">
        <w:rPr>
          <w:rFonts w:ascii="Tahoma" w:hAnsi="Tahoma" w:cs="Tahoma"/>
          <w:bCs/>
          <w:lang w:val="fr-FR"/>
        </w:rPr>
        <w:t xml:space="preserve"> et réinterprète le style traditionnel des pêcheurs de perles du Golfe arabique. Les représentations se tiendront à l’Auditorium les 26 et 27 février 2020 à 20h. Les billets au prix de 150 AED (TVA incluse) sont en vente en ligne.</w:t>
      </w:r>
    </w:p>
    <w:p w14:paraId="32F0465E" w14:textId="7202CDEB"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 xml:space="preserve">Le Moyen Âge sera à l’honneur lors d’un week-end destiné aux familles, les 28 et 29 février de 12h à 18h. Des projections de films, des parades de chevaliers, des ateliers et bien d’autres activités seront proposés sous le </w:t>
      </w:r>
      <w:r w:rsidR="00A96E88">
        <w:rPr>
          <w:rFonts w:ascii="Tahoma" w:hAnsi="Tahoma" w:cs="Tahoma"/>
          <w:bCs/>
          <w:lang w:val="fr-FR"/>
        </w:rPr>
        <w:t>d</w:t>
      </w:r>
      <w:r w:rsidRPr="00915362">
        <w:rPr>
          <w:rFonts w:ascii="Tahoma" w:hAnsi="Tahoma" w:cs="Tahoma"/>
          <w:bCs/>
          <w:lang w:val="fr-FR"/>
        </w:rPr>
        <w:t>ôme du Louvre Abu Dhabi.</w:t>
      </w:r>
    </w:p>
    <w:p w14:paraId="46C84975"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 xml:space="preserve">Le célèbre Trio </w:t>
      </w:r>
      <w:proofErr w:type="spellStart"/>
      <w:r w:rsidRPr="00915362">
        <w:rPr>
          <w:rFonts w:ascii="Tahoma" w:hAnsi="Tahoma" w:cs="Tahoma"/>
          <w:bCs/>
          <w:lang w:val="fr-FR"/>
        </w:rPr>
        <w:t>Joubran</w:t>
      </w:r>
      <w:proofErr w:type="spellEnd"/>
      <w:r w:rsidRPr="00915362">
        <w:rPr>
          <w:rFonts w:ascii="Tahoma" w:hAnsi="Tahoma" w:cs="Tahoma"/>
          <w:bCs/>
          <w:lang w:val="fr-FR"/>
        </w:rPr>
        <w:t xml:space="preserve"> est désormais indissociable de la pratique du oud ou luth arabe. Issu d’une longue lignée de luthiers, le trio innove lors de ses représentations, les instruments venant unir leurs sonorités en une voix unique à la façon de trois solistes. Ce concert-performance, </w:t>
      </w:r>
      <w:r w:rsidRPr="00915362">
        <w:rPr>
          <w:rFonts w:ascii="Tahoma" w:hAnsi="Tahoma" w:cs="Tahoma"/>
          <w:bCs/>
          <w:i/>
          <w:iCs/>
          <w:lang w:val="fr-FR"/>
        </w:rPr>
        <w:t>The Long March</w:t>
      </w:r>
      <w:r w:rsidRPr="00915362">
        <w:rPr>
          <w:rFonts w:ascii="Tahoma" w:hAnsi="Tahoma" w:cs="Tahoma"/>
          <w:bCs/>
          <w:lang w:val="fr-FR"/>
        </w:rPr>
        <w:t>, sera présenté à l’Auditorium du musée le 26 mars à 20h. Les tickets au tarif de 150 AED sont en vente en ligne.</w:t>
      </w:r>
    </w:p>
    <w:p w14:paraId="0CB6E805" w14:textId="0E2F2F34"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Parmi les prêteurs de l’exposition, citons le musée de Cluny</w:t>
      </w:r>
      <w:r w:rsidR="00A96E88">
        <w:rPr>
          <w:rFonts w:ascii="Tahoma" w:hAnsi="Tahoma" w:cs="Tahoma"/>
          <w:bCs/>
          <w:lang w:val="fr-FR"/>
        </w:rPr>
        <w:t xml:space="preserve"> </w:t>
      </w:r>
      <w:r w:rsidRPr="00915362">
        <w:rPr>
          <w:rFonts w:ascii="Tahoma" w:hAnsi="Tahoma" w:cs="Tahoma"/>
          <w:bCs/>
          <w:lang w:val="fr-FR"/>
        </w:rPr>
        <w:t>-</w:t>
      </w:r>
      <w:r w:rsidR="00A96E88">
        <w:rPr>
          <w:rFonts w:ascii="Tahoma" w:hAnsi="Tahoma" w:cs="Tahoma"/>
          <w:bCs/>
          <w:lang w:val="fr-FR"/>
        </w:rPr>
        <w:t xml:space="preserve"> </w:t>
      </w:r>
      <w:r w:rsidRPr="00915362">
        <w:rPr>
          <w:rFonts w:ascii="Tahoma" w:hAnsi="Tahoma" w:cs="Tahoma"/>
          <w:bCs/>
          <w:lang w:val="fr-FR"/>
        </w:rPr>
        <w:t xml:space="preserve">musée national du Moyen Âge, le musée du Louvre, le Louvre Abu Dhabi, le </w:t>
      </w:r>
      <w:r w:rsidR="00A96E88">
        <w:rPr>
          <w:rFonts w:ascii="Tahoma" w:hAnsi="Tahoma" w:cs="Tahoma"/>
          <w:bCs/>
          <w:lang w:val="fr-FR"/>
        </w:rPr>
        <w:t>m</w:t>
      </w:r>
      <w:r w:rsidRPr="00915362">
        <w:rPr>
          <w:rFonts w:ascii="Tahoma" w:hAnsi="Tahoma" w:cs="Tahoma"/>
          <w:bCs/>
          <w:lang w:val="fr-FR"/>
        </w:rPr>
        <w:t xml:space="preserve">usée de l’armée, le </w:t>
      </w:r>
      <w:r w:rsidR="00A96E88">
        <w:rPr>
          <w:rFonts w:ascii="Tahoma" w:hAnsi="Tahoma" w:cs="Tahoma"/>
          <w:bCs/>
          <w:lang w:val="fr-FR"/>
        </w:rPr>
        <w:t>m</w:t>
      </w:r>
      <w:r w:rsidRPr="00915362">
        <w:rPr>
          <w:rFonts w:ascii="Tahoma" w:hAnsi="Tahoma" w:cs="Tahoma"/>
          <w:bCs/>
          <w:lang w:val="fr-FR"/>
        </w:rPr>
        <w:t xml:space="preserve">usée des arts décoratifs, la Bibliothèque </w:t>
      </w:r>
      <w:r w:rsidRPr="00915362">
        <w:rPr>
          <w:rFonts w:ascii="Tahoma" w:hAnsi="Tahoma" w:cs="Tahoma"/>
          <w:bCs/>
          <w:lang w:val="fr-FR"/>
        </w:rPr>
        <w:lastRenderedPageBreak/>
        <w:t xml:space="preserve">nationale de France, le musée Jean-Claude Boulard-Carré Plantagenêt, le </w:t>
      </w:r>
      <w:r w:rsidR="00A96E88">
        <w:rPr>
          <w:rFonts w:ascii="Tahoma" w:hAnsi="Tahoma" w:cs="Tahoma"/>
          <w:bCs/>
          <w:lang w:val="fr-FR"/>
        </w:rPr>
        <w:t>m</w:t>
      </w:r>
      <w:r w:rsidRPr="00915362">
        <w:rPr>
          <w:rFonts w:ascii="Tahoma" w:hAnsi="Tahoma" w:cs="Tahoma"/>
          <w:bCs/>
          <w:lang w:val="fr-FR"/>
        </w:rPr>
        <w:t xml:space="preserve">usée des beaux-arts de Lyon, The </w:t>
      </w:r>
      <w:proofErr w:type="spellStart"/>
      <w:r w:rsidRPr="00915362">
        <w:rPr>
          <w:rFonts w:ascii="Tahoma" w:hAnsi="Tahoma" w:cs="Tahoma"/>
          <w:bCs/>
          <w:lang w:val="fr-FR"/>
        </w:rPr>
        <w:t>Metropolitan</w:t>
      </w:r>
      <w:proofErr w:type="spellEnd"/>
      <w:r w:rsidRPr="00915362">
        <w:rPr>
          <w:rFonts w:ascii="Tahoma" w:hAnsi="Tahoma" w:cs="Tahoma"/>
          <w:bCs/>
          <w:lang w:val="fr-FR"/>
        </w:rPr>
        <w:t xml:space="preserve"> Museum of Art, The Chester Beatty Library et la Furusiyya Art Foundation.</w:t>
      </w:r>
    </w:p>
    <w:p w14:paraId="5FEFCB7A"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 xml:space="preserve">D’autres expositions sont organisées dans le cadre de la saison 2019-2020 du Louvre Abu Dhabi : </w:t>
      </w:r>
      <w:r w:rsidRPr="00915362">
        <w:rPr>
          <w:rFonts w:ascii="Tahoma" w:hAnsi="Tahoma" w:cs="Tahoma"/>
          <w:bCs/>
          <w:i/>
          <w:iCs/>
          <w:lang w:val="fr-FR"/>
        </w:rPr>
        <w:t>10 000 ans de luxe</w:t>
      </w:r>
      <w:r w:rsidRPr="00915362">
        <w:rPr>
          <w:rFonts w:ascii="Tahoma" w:hAnsi="Tahoma" w:cs="Tahoma"/>
          <w:bCs/>
          <w:lang w:val="fr-FR"/>
        </w:rPr>
        <w:t xml:space="preserve"> (30 octobre 2019 – 18 février 2020) et </w:t>
      </w:r>
      <w:r w:rsidRPr="00915362">
        <w:rPr>
          <w:rFonts w:ascii="Tahoma" w:hAnsi="Tahoma" w:cs="Tahoma"/>
          <w:bCs/>
          <w:i/>
          <w:iCs/>
          <w:lang w:val="fr-FR"/>
        </w:rPr>
        <w:t>Charlie Chaplin : quand l’art rencontre le cinéma</w:t>
      </w:r>
      <w:r w:rsidRPr="00915362">
        <w:rPr>
          <w:rFonts w:ascii="Tahoma" w:hAnsi="Tahoma" w:cs="Tahoma"/>
          <w:bCs/>
          <w:lang w:val="fr-FR"/>
        </w:rPr>
        <w:t xml:space="preserve"> (15 avril – 11 juillet 2020).</w:t>
      </w:r>
    </w:p>
    <w:p w14:paraId="0D5DE1FD" w14:textId="7905D2E3" w:rsidR="00915362" w:rsidRPr="00915362" w:rsidRDefault="00915362" w:rsidP="003F4674">
      <w:pPr>
        <w:spacing w:line="276" w:lineRule="auto"/>
        <w:jc w:val="both"/>
        <w:rPr>
          <w:rFonts w:ascii="Tahoma" w:hAnsi="Tahoma" w:cs="Tahoma"/>
          <w:bCs/>
          <w:lang w:val="fr-FR"/>
        </w:rPr>
      </w:pPr>
      <w:r w:rsidRPr="00915362">
        <w:rPr>
          <w:rFonts w:ascii="Tahoma" w:hAnsi="Tahoma" w:cs="Tahoma"/>
          <w:bCs/>
          <w:lang w:val="fr-FR"/>
        </w:rPr>
        <w:t>Le billet d’entrée du musée donne accès gratuitement à l’exposition</w:t>
      </w:r>
      <w:r w:rsidR="003F4674" w:rsidRPr="003F4674">
        <w:rPr>
          <w:rFonts w:ascii="Tahoma" w:hAnsi="Tahoma" w:cs="Tahoma"/>
          <w:b/>
          <w:bCs/>
          <w:i/>
          <w:iCs/>
          <w:lang w:val="fr-FR"/>
        </w:rPr>
        <w:t xml:space="preserve"> </w:t>
      </w:r>
      <w:r w:rsidR="003F4674">
        <w:rPr>
          <w:rFonts w:ascii="Tahoma" w:hAnsi="Tahoma" w:cs="Tahoma"/>
          <w:b/>
          <w:bCs/>
          <w:i/>
          <w:iCs/>
          <w:lang w:val="fr-FR"/>
        </w:rPr>
        <w:t>Fur</w:t>
      </w:r>
      <w:r w:rsidR="003F4674" w:rsidRPr="0043097F">
        <w:rPr>
          <w:rFonts w:ascii="Tahoma" w:hAnsi="Tahoma" w:cs="Tahoma"/>
          <w:b/>
          <w:bCs/>
          <w:i/>
          <w:iCs/>
          <w:lang w:val="fr-FR"/>
        </w:rPr>
        <w:t>ū</w:t>
      </w:r>
      <w:r w:rsidR="003F4674">
        <w:rPr>
          <w:rFonts w:ascii="Tahoma" w:hAnsi="Tahoma" w:cs="Tahoma"/>
          <w:b/>
          <w:bCs/>
          <w:i/>
          <w:iCs/>
          <w:lang w:val="fr-FR"/>
        </w:rPr>
        <w:t>siyya</w:t>
      </w:r>
      <w:r w:rsidRPr="00915362">
        <w:rPr>
          <w:rFonts w:ascii="Tahoma" w:hAnsi="Tahoma" w:cs="Tahoma"/>
          <w:bCs/>
          <w:i/>
          <w:iCs/>
          <w:lang w:val="fr-FR"/>
        </w:rPr>
        <w:t> :  l’art de la chevalerie entre Orient et Occident</w:t>
      </w:r>
      <w:r w:rsidRPr="00915362">
        <w:rPr>
          <w:rFonts w:ascii="Tahoma" w:hAnsi="Tahoma" w:cs="Tahoma"/>
          <w:bCs/>
          <w:lang w:val="fr-FR"/>
        </w:rPr>
        <w:t>. Il est recommandé de réserver en période de pointe. Les réservations peuvent se faire sur le site www.louvreabudhabi.ae ou par téléphone au + 971 600 56 55 66. Gratuit pour les enfants de moins de 13 ans.</w:t>
      </w:r>
    </w:p>
    <w:p w14:paraId="65B35224" w14:textId="77777777" w:rsidR="00915362" w:rsidRPr="00915362" w:rsidRDefault="00915362" w:rsidP="00915362">
      <w:pPr>
        <w:spacing w:line="276" w:lineRule="auto"/>
        <w:jc w:val="both"/>
        <w:rPr>
          <w:rFonts w:ascii="Tahoma" w:hAnsi="Tahoma" w:cs="Tahoma"/>
          <w:bCs/>
          <w:lang w:val="fr-FR"/>
        </w:rPr>
      </w:pPr>
    </w:p>
    <w:p w14:paraId="2B6327DD" w14:textId="77777777" w:rsidR="00915362" w:rsidRPr="00915362" w:rsidRDefault="00915362" w:rsidP="00915362">
      <w:pPr>
        <w:spacing w:line="276" w:lineRule="auto"/>
        <w:jc w:val="both"/>
        <w:rPr>
          <w:rFonts w:ascii="Tahoma" w:hAnsi="Tahoma" w:cs="Tahoma"/>
          <w:b/>
          <w:bCs/>
          <w:lang w:val="fr-FR"/>
        </w:rPr>
      </w:pPr>
      <w:r w:rsidRPr="00915362">
        <w:rPr>
          <w:rFonts w:ascii="Tahoma" w:hAnsi="Tahoma" w:cs="Tahoma"/>
          <w:b/>
          <w:bCs/>
          <w:lang w:val="fr-FR"/>
        </w:rPr>
        <w:t>-FIN-</w:t>
      </w:r>
    </w:p>
    <w:p w14:paraId="15FD1BA2" w14:textId="77777777" w:rsidR="00915362" w:rsidRPr="00915362" w:rsidRDefault="00915362" w:rsidP="00915362">
      <w:pPr>
        <w:spacing w:line="276" w:lineRule="auto"/>
        <w:jc w:val="both"/>
        <w:rPr>
          <w:rFonts w:ascii="Tahoma" w:hAnsi="Tahoma" w:cs="Tahoma"/>
          <w:bCs/>
          <w:lang w:val="fr-FR"/>
        </w:rPr>
      </w:pPr>
    </w:p>
    <w:p w14:paraId="2A19E13B" w14:textId="77777777" w:rsidR="00915362" w:rsidRPr="00915362" w:rsidRDefault="00915362" w:rsidP="00915362">
      <w:pPr>
        <w:spacing w:line="276" w:lineRule="auto"/>
        <w:jc w:val="both"/>
        <w:rPr>
          <w:rFonts w:ascii="Tahoma" w:hAnsi="Tahoma" w:cs="Tahoma"/>
          <w:bCs/>
          <w:rtl/>
          <w:lang w:val="en-GB"/>
        </w:rPr>
      </w:pPr>
    </w:p>
    <w:p w14:paraId="3DE263EF" w14:textId="77777777" w:rsidR="00915362" w:rsidRPr="00915362" w:rsidRDefault="00915362" w:rsidP="00915362">
      <w:pPr>
        <w:spacing w:line="276" w:lineRule="auto"/>
        <w:jc w:val="both"/>
        <w:rPr>
          <w:rFonts w:ascii="Tahoma" w:hAnsi="Tahoma" w:cs="Tahoma"/>
          <w:b/>
          <w:bCs/>
          <w:lang w:val="fr-FR"/>
        </w:rPr>
      </w:pPr>
      <w:r w:rsidRPr="00915362">
        <w:rPr>
          <w:rFonts w:ascii="Tahoma" w:hAnsi="Tahoma" w:cs="Tahoma"/>
          <w:b/>
          <w:bCs/>
          <w:lang w:val="fr-FR"/>
        </w:rPr>
        <w:t>Informations Pratiques</w:t>
      </w:r>
    </w:p>
    <w:p w14:paraId="312096F3" w14:textId="77777777" w:rsidR="00915362" w:rsidRPr="00915362" w:rsidRDefault="00915362" w:rsidP="00915362">
      <w:pPr>
        <w:spacing w:line="276" w:lineRule="auto"/>
        <w:jc w:val="both"/>
        <w:rPr>
          <w:rFonts w:ascii="Tahoma" w:hAnsi="Tahoma" w:cs="Tahoma"/>
          <w:bCs/>
          <w:lang w:val="fr-FR"/>
        </w:rPr>
      </w:pPr>
    </w:p>
    <w:p w14:paraId="4A4BBAEC"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Suivez le Louvre Abu Dhabi sur les réseaux sociaux: Facebook (Louvre Abu Dhabi), Twitter (@</w:t>
      </w:r>
      <w:proofErr w:type="spellStart"/>
      <w:r w:rsidRPr="00915362">
        <w:rPr>
          <w:rFonts w:ascii="Tahoma" w:hAnsi="Tahoma" w:cs="Tahoma"/>
          <w:bCs/>
          <w:lang w:val="fr-FR"/>
        </w:rPr>
        <w:t>LouvreAbuDhabi</w:t>
      </w:r>
      <w:proofErr w:type="spellEnd"/>
      <w:r w:rsidRPr="00915362">
        <w:rPr>
          <w:rFonts w:ascii="Tahoma" w:hAnsi="Tahoma" w:cs="Tahoma"/>
          <w:bCs/>
          <w:lang w:val="fr-FR"/>
        </w:rPr>
        <w:t>) et Instagram (@</w:t>
      </w:r>
      <w:proofErr w:type="spellStart"/>
      <w:r w:rsidRPr="00915362">
        <w:rPr>
          <w:rFonts w:ascii="Tahoma" w:hAnsi="Tahoma" w:cs="Tahoma"/>
          <w:bCs/>
          <w:lang w:val="fr-FR"/>
        </w:rPr>
        <w:t>LouvreAbuDhabi</w:t>
      </w:r>
      <w:proofErr w:type="spellEnd"/>
      <w:r w:rsidRPr="00915362">
        <w:rPr>
          <w:rFonts w:ascii="Tahoma" w:hAnsi="Tahoma" w:cs="Tahoma"/>
          <w:bCs/>
          <w:lang w:val="fr-FR"/>
        </w:rPr>
        <w:t>). #</w:t>
      </w:r>
      <w:proofErr w:type="spellStart"/>
      <w:r w:rsidRPr="00915362">
        <w:rPr>
          <w:rFonts w:ascii="Tahoma" w:hAnsi="Tahoma" w:cs="Tahoma"/>
          <w:bCs/>
          <w:lang w:val="fr-FR"/>
        </w:rPr>
        <w:t>LouvreAbuDhabi</w:t>
      </w:r>
      <w:proofErr w:type="spellEnd"/>
    </w:p>
    <w:p w14:paraId="564ED6FC" w14:textId="77777777" w:rsidR="00915362" w:rsidRPr="00915362" w:rsidRDefault="00915362" w:rsidP="00915362">
      <w:pPr>
        <w:spacing w:line="276" w:lineRule="auto"/>
        <w:jc w:val="both"/>
        <w:rPr>
          <w:rFonts w:ascii="Tahoma" w:hAnsi="Tahoma" w:cs="Tahoma"/>
          <w:bCs/>
          <w:lang w:val="fr-FR"/>
        </w:rPr>
      </w:pPr>
    </w:p>
    <w:p w14:paraId="299A66ED"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 xml:space="preserve">Le Louvre Abu Dhabi est ouvert le samedi, dimanche, mardi et mercredi, de 10h à 20h, et le jeudi et vendredi de 10h à 22h. Le musée est fermé le lundi. </w:t>
      </w:r>
    </w:p>
    <w:p w14:paraId="236B62B9" w14:textId="77777777" w:rsidR="00915362" w:rsidRPr="00915362" w:rsidRDefault="00915362" w:rsidP="00915362">
      <w:pPr>
        <w:spacing w:line="276" w:lineRule="auto"/>
        <w:jc w:val="both"/>
        <w:rPr>
          <w:rFonts w:ascii="Tahoma" w:hAnsi="Tahoma" w:cs="Tahoma"/>
          <w:bCs/>
          <w:lang w:val="fr-FR"/>
        </w:rPr>
      </w:pPr>
    </w:p>
    <w:p w14:paraId="69B717C4"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Achat du billet et dernière entrée 30 minutes avant la fermeture du musée.</w:t>
      </w:r>
    </w:p>
    <w:p w14:paraId="30179BC3" w14:textId="77777777" w:rsidR="00915362" w:rsidRPr="00915362" w:rsidRDefault="00915362" w:rsidP="00915362">
      <w:pPr>
        <w:spacing w:line="276" w:lineRule="auto"/>
        <w:jc w:val="both"/>
        <w:rPr>
          <w:rFonts w:ascii="Tahoma" w:hAnsi="Tahoma" w:cs="Tahoma"/>
          <w:bCs/>
          <w:lang w:val="fr-FR"/>
        </w:rPr>
      </w:pPr>
    </w:p>
    <w:p w14:paraId="14BF4E5A"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 xml:space="preserve">Le billet d’entrée coûte 63 AED (5% TVA inclue). Les billets coûtent 31.5 AED (5% TVA inclue) pour les publics âgés de 13 à 22 ans, les professionnels d’éducation résidents aux EAU et les membres de l’armée. </w:t>
      </w:r>
    </w:p>
    <w:p w14:paraId="0A2D8341" w14:textId="77777777" w:rsidR="00915362" w:rsidRPr="00915362" w:rsidRDefault="00915362" w:rsidP="00915362">
      <w:pPr>
        <w:spacing w:line="276" w:lineRule="auto"/>
        <w:jc w:val="both"/>
        <w:rPr>
          <w:rFonts w:ascii="Tahoma" w:hAnsi="Tahoma" w:cs="Tahoma"/>
          <w:bCs/>
          <w:lang w:val="fr-FR"/>
        </w:rPr>
      </w:pPr>
    </w:p>
    <w:p w14:paraId="0F10FCB4"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 xml:space="preserve">L’admission est gratuite pour les membres du musée, les enfants de moins de 13 ans, les membres ICOM ou ICOMOS, les journalistes et les visiteurs handicapés ainsi que leur accompagnateur. </w:t>
      </w:r>
    </w:p>
    <w:p w14:paraId="19BB3FB0" w14:textId="77777777" w:rsidR="00915362" w:rsidRPr="00915362" w:rsidRDefault="00915362" w:rsidP="00915362">
      <w:pPr>
        <w:spacing w:line="276" w:lineRule="auto"/>
        <w:jc w:val="both"/>
        <w:rPr>
          <w:rFonts w:ascii="Tahoma" w:hAnsi="Tahoma" w:cs="Tahoma"/>
          <w:bCs/>
          <w:lang w:val="fr-FR"/>
        </w:rPr>
      </w:pPr>
    </w:p>
    <w:p w14:paraId="3F87028D" w14:textId="77777777" w:rsidR="00915362" w:rsidRPr="00915362" w:rsidRDefault="00915362" w:rsidP="00915362">
      <w:pPr>
        <w:spacing w:line="276" w:lineRule="auto"/>
        <w:jc w:val="both"/>
        <w:rPr>
          <w:rFonts w:ascii="Tahoma" w:hAnsi="Tahoma" w:cs="Tahoma"/>
          <w:b/>
          <w:bCs/>
          <w:lang w:val="fr-FR"/>
        </w:rPr>
      </w:pPr>
      <w:r w:rsidRPr="00915362">
        <w:rPr>
          <w:rFonts w:ascii="Tahoma" w:hAnsi="Tahoma" w:cs="Tahoma"/>
          <w:b/>
          <w:bCs/>
          <w:lang w:val="fr-FR"/>
        </w:rPr>
        <w:t>À PROPOS DU LOUVRE ABU DHABI</w:t>
      </w:r>
    </w:p>
    <w:p w14:paraId="3979BD3B"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Fruit d’un accord intergouvernemental exceptionnel entre Abu Dhabi et la France, le Louvre Abu Dhabi a ouvert ses portes sur l’île de Saadiyat en novembre 2017. Conçu par Jean Nouvel, le musée est inspiré de l’architecture islamique traditionnelle et son dôme monumental crée une pluie de lumière qui donne vie à cet espace singulier.</w:t>
      </w:r>
    </w:p>
    <w:p w14:paraId="0E5D4A64" w14:textId="77777777" w:rsidR="00915362" w:rsidRPr="00915362" w:rsidRDefault="00915362" w:rsidP="00915362">
      <w:pPr>
        <w:spacing w:line="276" w:lineRule="auto"/>
        <w:jc w:val="both"/>
        <w:rPr>
          <w:rFonts w:ascii="Tahoma" w:hAnsi="Tahoma" w:cs="Tahoma"/>
          <w:bCs/>
          <w:lang w:val="fr-FR"/>
        </w:rPr>
      </w:pPr>
    </w:p>
    <w:p w14:paraId="2BFB9C85"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 xml:space="preserve">Le Louvre Abu Dhabi célèbre la créativité universelle de l’humanité et invite ses visiteurs à la voir sous un jour nouveau. À travers son approche </w:t>
      </w:r>
      <w:proofErr w:type="spellStart"/>
      <w:r w:rsidRPr="00915362">
        <w:rPr>
          <w:rFonts w:ascii="Tahoma" w:hAnsi="Tahoma" w:cs="Tahoma"/>
          <w:bCs/>
          <w:lang w:val="fr-FR"/>
        </w:rPr>
        <w:t>curatoriale</w:t>
      </w:r>
      <w:proofErr w:type="spellEnd"/>
      <w:r w:rsidRPr="00915362">
        <w:rPr>
          <w:rFonts w:ascii="Tahoma" w:hAnsi="Tahoma" w:cs="Tahoma"/>
          <w:bCs/>
          <w:lang w:val="fr-FR"/>
        </w:rPr>
        <w:t xml:space="preserve"> innovante, le musée encourage le dialogue interculturel en s’appuyant sur des récits qui transcendent les civilisations, les géographies et les époques.</w:t>
      </w:r>
    </w:p>
    <w:p w14:paraId="6EB06B03"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La collection du musée, qui ne cesse de s’étoffer, est sans égale dans la région. Couvrant des milliers d’années, elle comprend notamment des outils et objets préhistoriques, des textes religieux et peintures emblématiques comme des œuvres d’art moderne et contemporain. La collection permanente est complétée par des prêts provenant de 13 institutions partenaires françaises, et de musées régionaux et internationaux.</w:t>
      </w:r>
    </w:p>
    <w:p w14:paraId="010643FC" w14:textId="77777777" w:rsidR="00915362" w:rsidRPr="00915362" w:rsidRDefault="00915362" w:rsidP="00915362">
      <w:pPr>
        <w:spacing w:line="276" w:lineRule="auto"/>
        <w:jc w:val="both"/>
        <w:rPr>
          <w:rFonts w:ascii="Tahoma" w:hAnsi="Tahoma" w:cs="Tahoma"/>
          <w:bCs/>
          <w:lang w:val="fr-FR"/>
        </w:rPr>
      </w:pPr>
    </w:p>
    <w:p w14:paraId="686AD19E"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Le Louvre Abu Dhabi est un véritable laboratoire culturel dans un monde globalisé et il forme les prochaines générations de professionnels de la culture. Ses expositions internationales, sa programmation culturelle et son Musée des enfants favorisent les échanges entre communautés et offrent éducation et délectation pour tous.</w:t>
      </w:r>
    </w:p>
    <w:p w14:paraId="64F887A5" w14:textId="77777777" w:rsidR="00915362" w:rsidRPr="00915362" w:rsidRDefault="00915362" w:rsidP="00915362">
      <w:pPr>
        <w:spacing w:line="276" w:lineRule="auto"/>
        <w:jc w:val="both"/>
        <w:rPr>
          <w:rFonts w:ascii="Tahoma" w:hAnsi="Tahoma" w:cs="Tahoma"/>
          <w:bCs/>
          <w:lang w:val="fr-FR"/>
        </w:rPr>
      </w:pPr>
    </w:p>
    <w:p w14:paraId="2D78A3CD"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En 2019, déclarée Année de la Tolérance aux Émirats Arabes Unis, le Louvre Abu Dhabi demeure un lieu accueillant toutes les cultures et un symbole d’ouverture, d’espoir, de tolérance et d’inclusion dans le monde arabe.</w:t>
      </w:r>
    </w:p>
    <w:p w14:paraId="0830C7AB" w14:textId="77777777" w:rsidR="00915362" w:rsidRPr="00915362" w:rsidRDefault="00915362" w:rsidP="00915362">
      <w:pPr>
        <w:spacing w:line="276" w:lineRule="auto"/>
        <w:jc w:val="both"/>
        <w:rPr>
          <w:rFonts w:ascii="Tahoma" w:hAnsi="Tahoma" w:cs="Tahoma"/>
          <w:bCs/>
          <w:lang w:val="fr-FR"/>
        </w:rPr>
      </w:pPr>
    </w:p>
    <w:p w14:paraId="52689694" w14:textId="77777777" w:rsidR="00915362" w:rsidRPr="00915362" w:rsidRDefault="00915362" w:rsidP="00915362">
      <w:pPr>
        <w:spacing w:line="276" w:lineRule="auto"/>
        <w:jc w:val="both"/>
        <w:rPr>
          <w:rFonts w:ascii="Tahoma" w:hAnsi="Tahoma" w:cs="Tahoma"/>
          <w:b/>
          <w:bCs/>
          <w:lang w:val="fr-FR"/>
        </w:rPr>
      </w:pPr>
      <w:r w:rsidRPr="00915362">
        <w:rPr>
          <w:rFonts w:ascii="Tahoma" w:hAnsi="Tahoma" w:cs="Tahoma"/>
          <w:b/>
          <w:bCs/>
          <w:lang w:val="fr-FR"/>
        </w:rPr>
        <w:t>À PROPOS DU MUSEE DE CLUNY – MUSEE NATIONAL DU MOYEN ÂGE</w:t>
      </w:r>
    </w:p>
    <w:p w14:paraId="11659318"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Implanté au cœur de Paris depuis 1843, le musée national du Moyen Âge est installé dans deux bâtiments classés au titre des Monuments historiques : les thermes antiques du Nord de Lutèce (1</w:t>
      </w:r>
      <w:r w:rsidRPr="00915362">
        <w:rPr>
          <w:rFonts w:ascii="Tahoma" w:hAnsi="Tahoma" w:cs="Tahoma"/>
          <w:bCs/>
          <w:vertAlign w:val="superscript"/>
          <w:lang w:val="fr-FR"/>
        </w:rPr>
        <w:t>er</w:t>
      </w:r>
      <w:r w:rsidRPr="00915362">
        <w:rPr>
          <w:rFonts w:ascii="Tahoma" w:hAnsi="Tahoma" w:cs="Tahoma"/>
          <w:bCs/>
          <w:lang w:val="fr-FR"/>
        </w:rPr>
        <w:t xml:space="preserve"> -2</w:t>
      </w:r>
      <w:r w:rsidRPr="00915362">
        <w:rPr>
          <w:rFonts w:ascii="Tahoma" w:hAnsi="Tahoma" w:cs="Tahoma"/>
          <w:bCs/>
          <w:vertAlign w:val="superscript"/>
          <w:lang w:val="fr-FR"/>
        </w:rPr>
        <w:t>ème</w:t>
      </w:r>
      <w:r w:rsidRPr="00915362">
        <w:rPr>
          <w:rFonts w:ascii="Tahoma" w:hAnsi="Tahoma" w:cs="Tahoma"/>
          <w:bCs/>
          <w:lang w:val="fr-FR"/>
        </w:rPr>
        <w:t xml:space="preserve"> siècles) et l'hôtel des abbés de Cluny (fin du 15</w:t>
      </w:r>
      <w:r w:rsidRPr="00915362">
        <w:rPr>
          <w:rFonts w:ascii="Tahoma" w:hAnsi="Tahoma" w:cs="Tahoma"/>
          <w:bCs/>
          <w:vertAlign w:val="superscript"/>
          <w:lang w:val="fr-FR"/>
        </w:rPr>
        <w:t xml:space="preserve">ème </w:t>
      </w:r>
      <w:r w:rsidRPr="00915362">
        <w:rPr>
          <w:rFonts w:ascii="Tahoma" w:hAnsi="Tahoma" w:cs="Tahoma"/>
          <w:bCs/>
          <w:lang w:val="fr-FR"/>
        </w:rPr>
        <w:t xml:space="preserve">siècle). </w:t>
      </w:r>
    </w:p>
    <w:p w14:paraId="00C8C5B5"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 xml:space="preserve">Ses collections comptent de nombreux chefs d’œuvre, peintures, sculptures, tapisseries, vitraux, orfèvreries ou ivoires, parmi lesquels la tapisserie de La Dame à la licorne, les têtes de rois de Notre-Dame de Paris et de nombreux éléments sculptés provenant de cette cathédrale ou la Rose et l’autel d’or de Bâle. </w:t>
      </w:r>
    </w:p>
    <w:p w14:paraId="315556E5" w14:textId="77777777" w:rsidR="00915362" w:rsidRPr="00915362" w:rsidRDefault="00915362" w:rsidP="00915362">
      <w:pPr>
        <w:spacing w:line="276" w:lineRule="auto"/>
        <w:jc w:val="both"/>
        <w:rPr>
          <w:rFonts w:ascii="Tahoma" w:hAnsi="Tahoma" w:cs="Tahoma"/>
          <w:bCs/>
          <w:lang w:val="fr-FR"/>
        </w:rPr>
      </w:pPr>
    </w:p>
    <w:p w14:paraId="31F35421"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 xml:space="preserve">Depuis 2015, le musée est engagé dans un vaste chantier de modernisation. </w:t>
      </w:r>
    </w:p>
    <w:p w14:paraId="5EEF3929"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 xml:space="preserve">Un nouveau bâtiment d’accueil signé par l'architecte Bernard </w:t>
      </w:r>
      <w:proofErr w:type="spellStart"/>
      <w:r w:rsidRPr="00915362">
        <w:rPr>
          <w:rFonts w:ascii="Tahoma" w:hAnsi="Tahoma" w:cs="Tahoma"/>
          <w:bCs/>
          <w:lang w:val="fr-FR"/>
        </w:rPr>
        <w:t>Desmoulin</w:t>
      </w:r>
      <w:proofErr w:type="spellEnd"/>
      <w:r w:rsidRPr="00915362">
        <w:rPr>
          <w:rFonts w:ascii="Tahoma" w:hAnsi="Tahoma" w:cs="Tahoma"/>
          <w:bCs/>
          <w:lang w:val="fr-FR"/>
        </w:rPr>
        <w:t xml:space="preserve"> a été inauguré le 14 juillet 2018. Actuellement, les travaux de reprise des parcours de visite se déroulent dans l'hôtel médiéval et la cour et rendent le musée partiellement ouvert jusque fin juin 2020, date à laquelle il fermera à nouveau entièrement pour rouvrir au printemps 2021. </w:t>
      </w:r>
    </w:p>
    <w:p w14:paraId="1A70C0D0" w14:textId="77777777" w:rsidR="00915362" w:rsidRPr="00915362" w:rsidRDefault="00915362" w:rsidP="00915362">
      <w:pPr>
        <w:spacing w:line="276" w:lineRule="auto"/>
        <w:jc w:val="both"/>
        <w:rPr>
          <w:rFonts w:ascii="Tahoma" w:hAnsi="Tahoma" w:cs="Tahoma"/>
          <w:bCs/>
          <w:lang w:val="fr-FR"/>
        </w:rPr>
      </w:pPr>
    </w:p>
    <w:p w14:paraId="72A19E5C"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En 2019, il a accueilli près de 222 000 visiteurs (vs 158 687 en 2018 sur les 7.5 mois d’ouverture).</w:t>
      </w:r>
    </w:p>
    <w:p w14:paraId="3D453578" w14:textId="77777777" w:rsidR="00915362" w:rsidRPr="00915362" w:rsidRDefault="00915362" w:rsidP="00915362">
      <w:pPr>
        <w:spacing w:line="276" w:lineRule="auto"/>
        <w:jc w:val="both"/>
        <w:rPr>
          <w:rFonts w:ascii="Tahoma" w:hAnsi="Tahoma" w:cs="Tahoma"/>
          <w:bCs/>
          <w:lang w:val="fr-FR"/>
        </w:rPr>
      </w:pPr>
    </w:p>
    <w:p w14:paraId="232114C9"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Le musée de Cluny est partenaire associé du Louvre Abu Dhabi et à ce titre une vingtaine de ses œuvres (tapisseries, orfèvreries, faïences…) y sont présentées chaque année dans les galeries permanentes consacrés aux temps médiévaux. Il s’est également vu confier la responsabilité avec le Louvre, de l'exposition de 2020 : « </w:t>
      </w:r>
      <w:proofErr w:type="spellStart"/>
      <w:r w:rsidRPr="00915362">
        <w:rPr>
          <w:rFonts w:ascii="Tahoma" w:hAnsi="Tahoma" w:cs="Tahoma"/>
          <w:bCs/>
          <w:lang w:val="fr-FR"/>
        </w:rPr>
        <w:t>Furûsiyya</w:t>
      </w:r>
      <w:proofErr w:type="spellEnd"/>
      <w:r w:rsidRPr="00915362">
        <w:rPr>
          <w:rFonts w:ascii="Tahoma" w:hAnsi="Tahoma" w:cs="Tahoma"/>
          <w:bCs/>
          <w:lang w:val="fr-FR"/>
        </w:rPr>
        <w:t xml:space="preserve"> : L’art de la chevalerie entre Orient et Occident ». </w:t>
      </w:r>
    </w:p>
    <w:p w14:paraId="472734D7" w14:textId="77777777" w:rsidR="00915362" w:rsidRPr="00915362" w:rsidRDefault="00915362" w:rsidP="00915362">
      <w:pPr>
        <w:spacing w:line="276" w:lineRule="auto"/>
        <w:jc w:val="both"/>
        <w:rPr>
          <w:rFonts w:ascii="Tahoma" w:hAnsi="Tahoma" w:cs="Tahoma"/>
          <w:bCs/>
          <w:lang w:val="fr-FR"/>
        </w:rPr>
      </w:pPr>
    </w:p>
    <w:p w14:paraId="4623036E" w14:textId="77777777" w:rsidR="00915362" w:rsidRPr="00915362" w:rsidRDefault="003A7D95" w:rsidP="00915362">
      <w:pPr>
        <w:spacing w:line="276" w:lineRule="auto"/>
        <w:jc w:val="both"/>
        <w:rPr>
          <w:rFonts w:ascii="Tahoma" w:hAnsi="Tahoma" w:cs="Tahoma"/>
          <w:bCs/>
          <w:lang w:val="fr-FR"/>
        </w:rPr>
      </w:pPr>
      <w:hyperlink r:id="rId13" w:history="1">
        <w:r w:rsidR="00915362" w:rsidRPr="00915362">
          <w:rPr>
            <w:rStyle w:val="Lienhypertexte"/>
            <w:rFonts w:ascii="Tahoma" w:hAnsi="Tahoma" w:cs="Tahoma"/>
            <w:bCs/>
            <w:lang w:val="fr-FR"/>
          </w:rPr>
          <w:t>www.musee-moyenage.fr</w:t>
        </w:r>
      </w:hyperlink>
    </w:p>
    <w:p w14:paraId="48477F4F" w14:textId="77777777" w:rsidR="00915362" w:rsidRPr="00915362" w:rsidRDefault="00915362" w:rsidP="00915362">
      <w:pPr>
        <w:spacing w:line="276" w:lineRule="auto"/>
        <w:jc w:val="both"/>
        <w:rPr>
          <w:rFonts w:ascii="Tahoma" w:hAnsi="Tahoma" w:cs="Tahoma"/>
          <w:bCs/>
          <w:lang w:val="fr-FR"/>
        </w:rPr>
      </w:pPr>
    </w:p>
    <w:p w14:paraId="79EBC633" w14:textId="77777777" w:rsidR="00915362" w:rsidRPr="00915362" w:rsidRDefault="00915362" w:rsidP="00915362">
      <w:pPr>
        <w:spacing w:line="276" w:lineRule="auto"/>
        <w:jc w:val="both"/>
        <w:rPr>
          <w:rFonts w:ascii="Tahoma" w:hAnsi="Tahoma" w:cs="Tahoma"/>
          <w:b/>
          <w:bCs/>
          <w:lang w:val="fr-FR"/>
        </w:rPr>
      </w:pPr>
      <w:r w:rsidRPr="00915362">
        <w:rPr>
          <w:rFonts w:ascii="Tahoma" w:hAnsi="Tahoma" w:cs="Tahoma"/>
          <w:b/>
          <w:bCs/>
          <w:lang w:val="fr-FR"/>
        </w:rPr>
        <w:t>À PROPOS DE L’AGENCE FRANCE-MUSÉUMS</w:t>
      </w:r>
    </w:p>
    <w:p w14:paraId="651F7DD3"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 xml:space="preserve">Créée en 2007 suite à l’accord intergouvernemental entre Abu Dhabi et la France, l’Agence France-Muséums est maillon essentiel depuis 12 ans entre la France et les EAU dans la réalisation du Louvre Abu Dhabi. </w:t>
      </w:r>
    </w:p>
    <w:p w14:paraId="042AE5B1" w14:textId="77777777" w:rsidR="00915362" w:rsidRPr="00915362" w:rsidRDefault="00915362" w:rsidP="00915362">
      <w:pPr>
        <w:spacing w:line="276" w:lineRule="auto"/>
        <w:jc w:val="both"/>
        <w:rPr>
          <w:rFonts w:ascii="Tahoma" w:hAnsi="Tahoma" w:cs="Tahoma"/>
          <w:bCs/>
          <w:lang w:val="fr-FR"/>
        </w:rPr>
      </w:pPr>
    </w:p>
    <w:p w14:paraId="7CBA6933"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En mutualisant pour la première fois l’accès aux collections et l’expertise des institutions culturelles françaises associées au projet, l’AFM a assuré depuis sa création et pour toute la phase de préfiguration du musée une mission d’assistance et d’expertise auprès des autorités des Émirats Arabes Unis dans les domaines suivants : définition du projet scientifique et culturel ; assistance à la maîtrise d’ouvrage pour le bâtiment y compris la muséographie, la signalétique et les projets multimédia ; l’organisation des prêts des collections françaises et d’expositions temporaires, le conseil à la constitution d’une collection permanente ; la définition de la politique des publics.</w:t>
      </w:r>
    </w:p>
    <w:p w14:paraId="1662C8AF" w14:textId="77777777" w:rsidR="00915362" w:rsidRPr="00915362" w:rsidRDefault="00915362" w:rsidP="00915362">
      <w:pPr>
        <w:spacing w:line="276" w:lineRule="auto"/>
        <w:jc w:val="both"/>
        <w:rPr>
          <w:rFonts w:ascii="Tahoma" w:hAnsi="Tahoma" w:cs="Tahoma"/>
          <w:bCs/>
          <w:lang w:val="fr-FR"/>
        </w:rPr>
      </w:pPr>
    </w:p>
    <w:p w14:paraId="5541963B" w14:textId="2BFB152E" w:rsidR="00B10067" w:rsidRPr="00FE736B" w:rsidRDefault="00915362" w:rsidP="00B10067">
      <w:pPr>
        <w:pStyle w:val="Sansinterligne"/>
        <w:rPr>
          <w:rFonts w:ascii="Linux biolinum" w:hAnsi="Linux biolinum"/>
          <w:lang w:val="fr-FR"/>
        </w:rPr>
      </w:pPr>
      <w:r w:rsidRPr="00915362">
        <w:rPr>
          <w:rFonts w:ascii="Tahoma" w:hAnsi="Tahoma" w:cs="Tahoma"/>
          <w:bCs/>
          <w:lang w:val="fr-FR"/>
        </w:rPr>
        <w:t xml:space="preserve">Depuis l’ouverture du musée, l’AFM poursuit ses missions auprès du Louvre Abu Dhabi </w:t>
      </w:r>
      <w:r w:rsidR="00B10067" w:rsidRPr="00FE736B">
        <w:rPr>
          <w:rFonts w:ascii="Linux biolinum" w:hAnsi="Linux biolinum"/>
          <w:lang w:val="fr-FR"/>
        </w:rPr>
        <w:t>dans quatre champs d</w:t>
      </w:r>
      <w:r w:rsidR="00B10067" w:rsidRPr="00FE736B">
        <w:rPr>
          <w:rFonts w:ascii="Linux biolinum" w:hAnsi="Linux biolinum" w:hint="eastAsia"/>
          <w:lang w:val="fr-FR"/>
        </w:rPr>
        <w:t>’</w:t>
      </w:r>
      <w:r w:rsidR="00B10067" w:rsidRPr="00FE736B">
        <w:rPr>
          <w:rFonts w:ascii="Linux biolinum" w:hAnsi="Linux biolinum"/>
          <w:lang w:val="fr-FR"/>
        </w:rPr>
        <w:t>activit</w:t>
      </w:r>
      <w:r w:rsidR="00B10067" w:rsidRPr="00FE736B">
        <w:rPr>
          <w:rFonts w:ascii="Linux biolinum" w:hAnsi="Linux biolinum" w:hint="eastAsia"/>
          <w:lang w:val="fr-FR"/>
        </w:rPr>
        <w:t>é</w:t>
      </w:r>
      <w:r w:rsidR="00B10067" w:rsidRPr="00FE736B">
        <w:rPr>
          <w:rFonts w:ascii="Linux biolinum" w:hAnsi="Linux biolinum"/>
          <w:lang w:val="fr-FR"/>
        </w:rPr>
        <w:t>s principaux</w:t>
      </w:r>
      <w:r w:rsidR="00B10067">
        <w:rPr>
          <w:rFonts w:ascii="Tahoma" w:hAnsi="Tahoma" w:cs="Tahoma"/>
          <w:bCs/>
          <w:lang w:val="fr-FR"/>
        </w:rPr>
        <w:t xml:space="preserve">. </w:t>
      </w:r>
      <w:r w:rsidR="00B10067" w:rsidRPr="00FE736B">
        <w:rPr>
          <w:rFonts w:ascii="Linux biolinum" w:hAnsi="Linux biolinum"/>
          <w:lang w:val="fr-FR"/>
        </w:rPr>
        <w:t>Il s</w:t>
      </w:r>
      <w:r w:rsidR="00B10067" w:rsidRPr="00FE736B">
        <w:rPr>
          <w:rFonts w:ascii="Linux biolinum" w:hAnsi="Linux biolinum" w:hint="eastAsia"/>
          <w:lang w:val="fr-FR"/>
        </w:rPr>
        <w:t>’</w:t>
      </w:r>
      <w:r w:rsidR="00B10067" w:rsidRPr="00FE736B">
        <w:rPr>
          <w:rFonts w:ascii="Linux biolinum" w:hAnsi="Linux biolinum"/>
          <w:lang w:val="fr-FR"/>
        </w:rPr>
        <w:t>agit de</w:t>
      </w:r>
      <w:r w:rsidR="00B10067">
        <w:rPr>
          <w:rFonts w:ascii="Linux biolinum" w:hAnsi="Linux biolinum"/>
          <w:lang w:val="fr-FR"/>
        </w:rPr>
        <w:t xml:space="preserve"> </w:t>
      </w:r>
      <w:r w:rsidR="00B10067" w:rsidRPr="00FE736B">
        <w:rPr>
          <w:rFonts w:ascii="Linux biolinum" w:hAnsi="Linux biolinum"/>
          <w:lang w:val="fr-FR"/>
        </w:rPr>
        <w:t>l</w:t>
      </w:r>
      <w:r w:rsidR="00B10067" w:rsidRPr="00FE736B">
        <w:rPr>
          <w:rFonts w:ascii="Linux biolinum" w:hAnsi="Linux biolinum" w:hint="eastAsia"/>
          <w:lang w:val="fr-FR"/>
        </w:rPr>
        <w:t>’</w:t>
      </w:r>
      <w:r w:rsidR="00B10067" w:rsidRPr="00FE736B">
        <w:rPr>
          <w:rFonts w:ascii="Linux biolinum" w:hAnsi="Linux biolinum"/>
          <w:lang w:val="fr-FR"/>
        </w:rPr>
        <w:t>organisation des expositions temporaires du Louvre Abu Dhabi</w:t>
      </w:r>
      <w:r w:rsidR="00B10067">
        <w:rPr>
          <w:rFonts w:ascii="Linux biolinum" w:hAnsi="Linux biolinum"/>
          <w:lang w:val="fr-FR"/>
        </w:rPr>
        <w:t xml:space="preserve"> sur 15 ans</w:t>
      </w:r>
      <w:r w:rsidR="00B10067" w:rsidRPr="00FE736B">
        <w:rPr>
          <w:rFonts w:ascii="Linux biolinum" w:hAnsi="Linux biolinum"/>
          <w:lang w:val="fr-FR"/>
        </w:rPr>
        <w:t>, con</w:t>
      </w:r>
      <w:r w:rsidR="00B10067" w:rsidRPr="00FE736B">
        <w:rPr>
          <w:rFonts w:ascii="Linux biolinum" w:hAnsi="Linux biolinum" w:hint="eastAsia"/>
          <w:lang w:val="fr-FR"/>
        </w:rPr>
        <w:t>ç</w:t>
      </w:r>
      <w:r w:rsidR="00B10067" w:rsidRPr="00FE736B">
        <w:rPr>
          <w:rFonts w:ascii="Linux biolinum" w:hAnsi="Linux biolinum"/>
          <w:lang w:val="fr-FR"/>
        </w:rPr>
        <w:t>ues par les mus</w:t>
      </w:r>
      <w:r w:rsidR="00B10067" w:rsidRPr="00FE736B">
        <w:rPr>
          <w:rFonts w:ascii="Linux biolinum" w:hAnsi="Linux biolinum" w:hint="eastAsia"/>
          <w:lang w:val="fr-FR"/>
        </w:rPr>
        <w:t>é</w:t>
      </w:r>
      <w:r w:rsidR="00B10067" w:rsidRPr="00FE736B">
        <w:rPr>
          <w:rFonts w:ascii="Linux biolinum" w:hAnsi="Linux biolinum"/>
          <w:lang w:val="fr-FR"/>
        </w:rPr>
        <w:t>es fran</w:t>
      </w:r>
      <w:r w:rsidR="00B10067" w:rsidRPr="00FE736B">
        <w:rPr>
          <w:rFonts w:ascii="Linux biolinum" w:hAnsi="Linux biolinum" w:hint="eastAsia"/>
          <w:lang w:val="fr-FR"/>
        </w:rPr>
        <w:t>ç</w:t>
      </w:r>
      <w:r w:rsidR="00B10067" w:rsidRPr="00FE736B">
        <w:rPr>
          <w:rFonts w:ascii="Linux biolinum" w:hAnsi="Linux biolinum"/>
          <w:lang w:val="fr-FR"/>
        </w:rPr>
        <w:t>ais partenaires</w:t>
      </w:r>
      <w:r w:rsidR="00B10067" w:rsidRPr="00FE736B">
        <w:rPr>
          <w:rFonts w:ascii="Linux biolinum" w:hAnsi="Linux biolinum" w:hint="eastAsia"/>
          <w:lang w:val="fr-FR"/>
        </w:rPr>
        <w:t> </w:t>
      </w:r>
      <w:r w:rsidR="00B10067" w:rsidRPr="00FE736B">
        <w:rPr>
          <w:rFonts w:ascii="Linux biolinum" w:hAnsi="Linux biolinum"/>
          <w:lang w:val="fr-FR"/>
        </w:rPr>
        <w:t xml:space="preserve">; </w:t>
      </w:r>
      <w:r w:rsidR="00B10067">
        <w:rPr>
          <w:rFonts w:ascii="Linux biolinum" w:hAnsi="Linux biolinum"/>
          <w:lang w:val="fr-FR"/>
        </w:rPr>
        <w:t xml:space="preserve">de </w:t>
      </w:r>
      <w:r w:rsidR="00B10067" w:rsidRPr="00FE736B">
        <w:rPr>
          <w:rFonts w:ascii="Linux biolinum" w:hAnsi="Linux biolinum"/>
          <w:lang w:val="fr-FR"/>
        </w:rPr>
        <w:t>la gestion des pr</w:t>
      </w:r>
      <w:r w:rsidR="00B10067" w:rsidRPr="00FE736B">
        <w:rPr>
          <w:rFonts w:ascii="Linux biolinum" w:hAnsi="Linux biolinum" w:hint="eastAsia"/>
          <w:lang w:val="fr-FR"/>
        </w:rPr>
        <w:t>ê</w:t>
      </w:r>
      <w:r w:rsidR="00B10067" w:rsidRPr="00FE736B">
        <w:rPr>
          <w:rFonts w:ascii="Linux biolinum" w:hAnsi="Linux biolinum"/>
          <w:lang w:val="fr-FR"/>
        </w:rPr>
        <w:t>ts fran</w:t>
      </w:r>
      <w:r w:rsidR="00B10067" w:rsidRPr="00FE736B">
        <w:rPr>
          <w:rFonts w:ascii="Linux biolinum" w:hAnsi="Linux biolinum" w:hint="eastAsia"/>
          <w:lang w:val="fr-FR"/>
        </w:rPr>
        <w:t>ç</w:t>
      </w:r>
      <w:r w:rsidR="00B10067" w:rsidRPr="00FE736B">
        <w:rPr>
          <w:rFonts w:ascii="Linux biolinum" w:hAnsi="Linux biolinum"/>
          <w:lang w:val="fr-FR"/>
        </w:rPr>
        <w:t>ais tels qu</w:t>
      </w:r>
      <w:r w:rsidR="00B10067" w:rsidRPr="00FE736B">
        <w:rPr>
          <w:rFonts w:ascii="Linux biolinum" w:hAnsi="Linux biolinum" w:hint="eastAsia"/>
          <w:lang w:val="fr-FR"/>
        </w:rPr>
        <w:t>’</w:t>
      </w:r>
      <w:r w:rsidR="00B10067" w:rsidRPr="00FE736B">
        <w:rPr>
          <w:rFonts w:ascii="Linux biolinum" w:hAnsi="Linux biolinum"/>
          <w:lang w:val="fr-FR"/>
        </w:rPr>
        <w:t>ils sont envisag</w:t>
      </w:r>
      <w:r w:rsidR="00B10067" w:rsidRPr="00FE736B">
        <w:rPr>
          <w:rFonts w:ascii="Linux biolinum" w:hAnsi="Linux biolinum" w:hint="eastAsia"/>
          <w:lang w:val="fr-FR"/>
        </w:rPr>
        <w:t>é</w:t>
      </w:r>
      <w:r w:rsidR="00B10067" w:rsidRPr="00FE736B">
        <w:rPr>
          <w:rFonts w:ascii="Linux biolinum" w:hAnsi="Linux biolinum"/>
          <w:lang w:val="fr-FR"/>
        </w:rPr>
        <w:t>s par l</w:t>
      </w:r>
      <w:r w:rsidR="00B10067" w:rsidRPr="00FE736B">
        <w:rPr>
          <w:rFonts w:ascii="Linux biolinum" w:hAnsi="Linux biolinum" w:hint="eastAsia"/>
          <w:lang w:val="fr-FR"/>
        </w:rPr>
        <w:t>’</w:t>
      </w:r>
      <w:r w:rsidR="00B10067" w:rsidRPr="00FE736B">
        <w:rPr>
          <w:rFonts w:ascii="Linux biolinum" w:hAnsi="Linux biolinum"/>
          <w:lang w:val="fr-FR"/>
        </w:rPr>
        <w:t>AIG</w:t>
      </w:r>
      <w:r w:rsidR="00B10067" w:rsidRPr="00FE736B">
        <w:rPr>
          <w:rFonts w:ascii="Linux biolinum" w:hAnsi="Linux biolinum" w:hint="eastAsia"/>
          <w:lang w:val="fr-FR"/>
        </w:rPr>
        <w:t> </w:t>
      </w:r>
      <w:r w:rsidR="00B10067" w:rsidRPr="00FE736B">
        <w:rPr>
          <w:rFonts w:ascii="Linux biolinum" w:hAnsi="Linux biolinum"/>
          <w:lang w:val="fr-FR"/>
        </w:rPr>
        <w:t>; de missions de conseils dans l</w:t>
      </w:r>
      <w:r w:rsidR="00B10067" w:rsidRPr="00FE736B">
        <w:rPr>
          <w:rFonts w:ascii="Linux biolinum" w:hAnsi="Linux biolinum" w:hint="eastAsia"/>
          <w:lang w:val="fr-FR"/>
        </w:rPr>
        <w:t>’</w:t>
      </w:r>
      <w:r w:rsidR="00B10067" w:rsidRPr="00FE736B">
        <w:rPr>
          <w:rFonts w:ascii="Linux biolinum" w:hAnsi="Linux biolinum"/>
          <w:lang w:val="fr-FR"/>
        </w:rPr>
        <w:t>ensemble des domaines relevant de la gestion d</w:t>
      </w:r>
      <w:r w:rsidR="00B10067" w:rsidRPr="00FE736B">
        <w:rPr>
          <w:rFonts w:ascii="Linux biolinum" w:hAnsi="Linux biolinum" w:hint="eastAsia"/>
          <w:lang w:val="fr-FR"/>
        </w:rPr>
        <w:t>’</w:t>
      </w:r>
      <w:r w:rsidR="00B10067" w:rsidRPr="00FE736B">
        <w:rPr>
          <w:rFonts w:ascii="Linux biolinum" w:hAnsi="Linux biolinum"/>
          <w:lang w:val="fr-FR"/>
        </w:rPr>
        <w:t>un mus</w:t>
      </w:r>
      <w:r w:rsidR="00B10067" w:rsidRPr="00FE736B">
        <w:rPr>
          <w:rFonts w:ascii="Linux biolinum" w:hAnsi="Linux biolinum" w:hint="eastAsia"/>
          <w:lang w:val="fr-FR"/>
        </w:rPr>
        <w:t>é</w:t>
      </w:r>
      <w:r w:rsidR="00B10067" w:rsidRPr="00FE736B">
        <w:rPr>
          <w:rFonts w:ascii="Linux biolinum" w:hAnsi="Linux biolinum"/>
          <w:lang w:val="fr-FR"/>
        </w:rPr>
        <w:t>e</w:t>
      </w:r>
      <w:r w:rsidR="00B10067" w:rsidRPr="00FE736B">
        <w:rPr>
          <w:rFonts w:ascii="Linux biolinum" w:hAnsi="Linux biolinum" w:hint="eastAsia"/>
          <w:lang w:val="fr-FR"/>
        </w:rPr>
        <w:t> </w:t>
      </w:r>
      <w:r w:rsidR="00B10067" w:rsidRPr="00FE736B">
        <w:rPr>
          <w:rFonts w:ascii="Linux biolinum" w:hAnsi="Linux biolinum"/>
          <w:lang w:val="fr-FR"/>
        </w:rPr>
        <w:t xml:space="preserve">; </w:t>
      </w:r>
      <w:r w:rsidR="00B10067">
        <w:rPr>
          <w:rFonts w:ascii="Linux biolinum" w:hAnsi="Linux biolinum"/>
          <w:lang w:val="fr-FR"/>
        </w:rPr>
        <w:t xml:space="preserve">de </w:t>
      </w:r>
      <w:r w:rsidR="00B10067" w:rsidRPr="00FE736B">
        <w:rPr>
          <w:rFonts w:ascii="Linux biolinum" w:hAnsi="Linux biolinum"/>
          <w:lang w:val="fr-FR"/>
        </w:rPr>
        <w:t xml:space="preserve">la formation des </w:t>
      </w:r>
      <w:r w:rsidR="00B10067" w:rsidRPr="00FE736B">
        <w:rPr>
          <w:rFonts w:ascii="Linux biolinum" w:hAnsi="Linux biolinum" w:hint="eastAsia"/>
          <w:lang w:val="fr-FR"/>
        </w:rPr>
        <w:t>é</w:t>
      </w:r>
      <w:r w:rsidR="00B10067" w:rsidRPr="00FE736B">
        <w:rPr>
          <w:rFonts w:ascii="Linux biolinum" w:hAnsi="Linux biolinum"/>
          <w:lang w:val="fr-FR"/>
        </w:rPr>
        <w:t>quipes.</w:t>
      </w:r>
    </w:p>
    <w:p w14:paraId="7A021519" w14:textId="77777777" w:rsidR="00915362" w:rsidRPr="00915362" w:rsidRDefault="00915362" w:rsidP="00915362">
      <w:pPr>
        <w:spacing w:line="276" w:lineRule="auto"/>
        <w:jc w:val="both"/>
        <w:rPr>
          <w:rFonts w:ascii="Tahoma" w:hAnsi="Tahoma" w:cs="Tahoma"/>
          <w:bCs/>
          <w:lang w:val="fr-FR"/>
        </w:rPr>
      </w:pPr>
    </w:p>
    <w:p w14:paraId="3CF04B4E"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L’Agence France-Muséums rassemble les partenaires du Louvre Abu Dhabi : Musée du Louvre, Centre Pompidou, Musées d’Orsay et de l’Orangerie, Bibliothèque nationale de France, Musée du quai Branly-Jacques Chirac, Réunion des Musées Nationaux et du Grand Palais (RMN-GP), Château de Versailles, Musée national des arts asiatiques-Guimet, Musée de Cluny – musée national du Moyen-Âge, École du Louvre, Musée Rodin, Domaine National de Chambord, Musée des Arts décoratifs (MAD), Cité de la Céramique – Sèvres &amp; Limoges, Musée d’Archéologie nationale – Saint-Germain en Laye, Château de Fontainebleau, et l’OPPIC (Opérateur du patrimoine et des projets immobiliers de la culture).</w:t>
      </w:r>
    </w:p>
    <w:p w14:paraId="6985C67A" w14:textId="77777777" w:rsidR="00915362" w:rsidRPr="00915362" w:rsidRDefault="00915362" w:rsidP="00915362">
      <w:pPr>
        <w:spacing w:line="276" w:lineRule="auto"/>
        <w:jc w:val="both"/>
        <w:rPr>
          <w:rFonts w:ascii="Tahoma" w:hAnsi="Tahoma" w:cs="Tahoma"/>
          <w:bCs/>
          <w:lang w:val="fr-FR"/>
        </w:rPr>
      </w:pPr>
    </w:p>
    <w:p w14:paraId="4C1C19AD" w14:textId="77777777" w:rsidR="00915362" w:rsidRPr="00915362" w:rsidRDefault="00915362" w:rsidP="00915362">
      <w:pPr>
        <w:spacing w:line="276" w:lineRule="auto"/>
        <w:jc w:val="both"/>
        <w:rPr>
          <w:rFonts w:ascii="Tahoma" w:hAnsi="Tahoma" w:cs="Tahoma"/>
          <w:b/>
          <w:bCs/>
          <w:lang w:val="fr-FR"/>
        </w:rPr>
      </w:pPr>
      <w:r w:rsidRPr="00915362">
        <w:rPr>
          <w:rFonts w:ascii="Tahoma" w:hAnsi="Tahoma" w:cs="Tahoma"/>
          <w:b/>
          <w:bCs/>
          <w:lang w:val="fr-FR"/>
        </w:rPr>
        <w:t>À PROPOS DU MUSÉE DU LOUVRE</w:t>
      </w:r>
    </w:p>
    <w:p w14:paraId="6D11D624" w14:textId="7B58AD26" w:rsidR="00915362" w:rsidRPr="00915362" w:rsidRDefault="00915362" w:rsidP="00622023">
      <w:pPr>
        <w:spacing w:line="276" w:lineRule="auto"/>
        <w:jc w:val="both"/>
        <w:rPr>
          <w:rFonts w:ascii="Tahoma" w:hAnsi="Tahoma" w:cs="Tahoma"/>
          <w:bCs/>
          <w:lang w:val="fr-FR"/>
        </w:rPr>
      </w:pPr>
      <w:r w:rsidRPr="00915362">
        <w:rPr>
          <w:rFonts w:ascii="Tahoma" w:hAnsi="Tahoma" w:cs="Tahoma"/>
          <w:bCs/>
          <w:lang w:val="fr-FR"/>
        </w:rPr>
        <w:t xml:space="preserve">Créé en 1793 pendant la Révolution française, le musée du Louvre a été imaginé dès son origine comme un lieu d’inspiration pour la création contemporaine. Courbet, Picasso, Dali et tant d’autres sont venus y admirer les maîtres, les copier, s’en imprégner pour progresser et nourrir leur art. Ancien palais des rois, le Louvre épouse l’histoire de France depuis huit siècles. Conçu dès sa création comme un musée universel, ses collections, qui figurent parmi les plus belles au monde, couvrent plusieurs millénaires et un territoire qui s’étend de l’Amérique aux frontières de l’Asie. Réparties en huit départements, elles contiennent plus de 38 000 œuvres universellement admirées, comme La Joconde, la Victoire de Samothrace ou la Vénus de Milo. </w:t>
      </w:r>
      <w:r w:rsidR="00622023" w:rsidRPr="00622023">
        <w:rPr>
          <w:rFonts w:ascii="Tahoma" w:hAnsi="Tahoma" w:cs="Tahoma"/>
          <w:bCs/>
          <w:lang w:val="fr-FR"/>
        </w:rPr>
        <w:t>Avec 9,6 millions de visiteurs en 2019, le Louvre est le musée le plus visité au monde. Ouvert depuis 2012, le département des Arts de l'Islam du Louvre présente plus de 3 000 objets, couvrant 1300 ans d'histoire sur trois continents, de l'Espagne à l'Asie du Sud-Est.</w:t>
      </w:r>
    </w:p>
    <w:p w14:paraId="60510A2E" w14:textId="77777777" w:rsidR="00915362" w:rsidRPr="00915362" w:rsidRDefault="00915362" w:rsidP="00915362">
      <w:pPr>
        <w:spacing w:line="276" w:lineRule="auto"/>
        <w:jc w:val="both"/>
        <w:rPr>
          <w:rFonts w:ascii="Tahoma" w:hAnsi="Tahoma" w:cs="Tahoma"/>
          <w:bCs/>
          <w:lang w:val="fr-FR"/>
        </w:rPr>
      </w:pPr>
    </w:p>
    <w:p w14:paraId="20005E28" w14:textId="77777777" w:rsidR="00915362" w:rsidRPr="00915362" w:rsidRDefault="00915362" w:rsidP="00915362">
      <w:pPr>
        <w:spacing w:line="276" w:lineRule="auto"/>
        <w:jc w:val="both"/>
        <w:rPr>
          <w:rFonts w:ascii="Tahoma" w:hAnsi="Tahoma" w:cs="Tahoma"/>
          <w:b/>
          <w:bCs/>
          <w:lang w:val="fr-FR"/>
        </w:rPr>
      </w:pPr>
      <w:r w:rsidRPr="00915362">
        <w:rPr>
          <w:rFonts w:ascii="Tahoma" w:hAnsi="Tahoma" w:cs="Tahoma"/>
          <w:b/>
          <w:bCs/>
          <w:lang w:val="fr-FR"/>
        </w:rPr>
        <w:t>À PROPOS DU SAADIYAT CULTURAL DISTRICT</w:t>
      </w:r>
    </w:p>
    <w:p w14:paraId="4928D708" w14:textId="77777777" w:rsidR="00915362" w:rsidRPr="00915362" w:rsidRDefault="00915362" w:rsidP="00915362">
      <w:pPr>
        <w:spacing w:line="276" w:lineRule="auto"/>
        <w:jc w:val="both"/>
        <w:rPr>
          <w:rFonts w:ascii="Tahoma" w:hAnsi="Tahoma" w:cs="Tahoma"/>
          <w:bCs/>
          <w:lang w:val="fr-FR"/>
        </w:rPr>
      </w:pPr>
      <w:r w:rsidRPr="00915362">
        <w:rPr>
          <w:rFonts w:ascii="Tahoma" w:hAnsi="Tahoma" w:cs="Tahoma"/>
          <w:bCs/>
          <w:lang w:val="fr-FR"/>
        </w:rPr>
        <w:t>Le Saadiyat Cultural District, situé sur l’île Saadiyat à Abu Dhabi, est un quartier dédié à la culture et aux arts. Projet culturel ambitieux pour le XXIe siècle, il est destiné à devenir un centre majeur de la culture mondiale, dont les expositions, les collections permanentes, les productions, les performances et les manifestations attireront un large public local, régional et international. Ses bâtiments iconiques, le Zayed National Museum, le Louvre Abu Dhabi, le Guggenheim Abu Dhabi, créeront un nouveau paysage urbain historique pour le 21e siècle. Ces musées travailleront en étroite collaboration avec les institutions artistiques et culturelles locales et régionales, dont ils sont complémentaires, notamment les universités et les centres de recherche.</w:t>
      </w:r>
    </w:p>
    <w:p w14:paraId="3ECE3814" w14:textId="77777777" w:rsidR="00915362" w:rsidRPr="00915362" w:rsidRDefault="00915362" w:rsidP="00915362">
      <w:pPr>
        <w:spacing w:line="276" w:lineRule="auto"/>
        <w:jc w:val="both"/>
        <w:rPr>
          <w:rFonts w:ascii="Tahoma" w:hAnsi="Tahoma" w:cs="Tahoma"/>
          <w:bCs/>
          <w:lang w:val="fr-FR"/>
        </w:rPr>
      </w:pPr>
    </w:p>
    <w:p w14:paraId="084A3FDF" w14:textId="77777777" w:rsidR="00915362" w:rsidRPr="00915362" w:rsidRDefault="00915362" w:rsidP="00915362">
      <w:pPr>
        <w:spacing w:line="276" w:lineRule="auto"/>
        <w:jc w:val="both"/>
        <w:rPr>
          <w:rFonts w:ascii="Tahoma" w:hAnsi="Tahoma" w:cs="Tahoma"/>
          <w:b/>
          <w:bCs/>
          <w:lang w:val="fr-FR"/>
        </w:rPr>
      </w:pPr>
      <w:r w:rsidRPr="00915362">
        <w:rPr>
          <w:rFonts w:ascii="Tahoma" w:hAnsi="Tahoma" w:cs="Tahoma"/>
          <w:b/>
          <w:bCs/>
          <w:lang w:val="fr-FR"/>
        </w:rPr>
        <w:t>À PROPOS DU DÉPARTEMENT POUR LA CULTURE ET LE TOURISME D’ABU DHABI</w:t>
      </w:r>
    </w:p>
    <w:p w14:paraId="6E57ECFC" w14:textId="0F744A77" w:rsidR="00131042" w:rsidRPr="00D16B16" w:rsidRDefault="00915362" w:rsidP="00131042">
      <w:pPr>
        <w:spacing w:line="276" w:lineRule="auto"/>
        <w:jc w:val="both"/>
        <w:rPr>
          <w:rStyle w:val="lev"/>
          <w:rFonts w:ascii="Tahoma" w:hAnsi="Tahoma" w:cs="Tahoma"/>
          <w:lang w:val="fr-FR"/>
        </w:rPr>
      </w:pPr>
      <w:proofErr w:type="spellStart"/>
      <w:r w:rsidRPr="00915362">
        <w:rPr>
          <w:rFonts w:ascii="Tahoma" w:hAnsi="Tahoma" w:cs="Tahoma"/>
          <w:bCs/>
          <w:lang w:val="fr-FR"/>
        </w:rPr>
        <w:t>Department</w:t>
      </w:r>
      <w:proofErr w:type="spellEnd"/>
      <w:r w:rsidRPr="00915362">
        <w:rPr>
          <w:rFonts w:ascii="Tahoma" w:hAnsi="Tahoma" w:cs="Tahoma"/>
          <w:bCs/>
          <w:lang w:val="fr-FR"/>
        </w:rPr>
        <w:t xml:space="preserve"> of Culture and Tourism – Abu Dhabi conserve et promeut le patrimoine et la culture de l’émirat d'Abu Dhabi et les met à profit dans le développement d'une destination durable d’envergure mondiale, qui propose une offre culturelle riche pour ses visiteurs et ses habitants. Le département gère le secteur touristique de l'émirat et promeut la destination au niveau international à travers un large éventail d'activités visant à attirer des visiteurs et les investissements. Ses politiques publiques, plans et programmes de développement sont liés à la préservation du patrimoine et de la culture, y compris la protection des sites archéologiques et historiques mais aussi au développement des musées, notamment le Louvre Abu Dhabi, le Zayed National Museum et le Guggenheim Abu Dhabi. </w:t>
      </w:r>
      <w:proofErr w:type="spellStart"/>
      <w:r w:rsidRPr="00915362">
        <w:rPr>
          <w:rFonts w:ascii="Tahoma" w:hAnsi="Tahoma" w:cs="Tahoma"/>
          <w:bCs/>
          <w:lang w:val="fr-FR"/>
        </w:rPr>
        <w:t>Department</w:t>
      </w:r>
      <w:proofErr w:type="spellEnd"/>
      <w:r w:rsidRPr="00915362">
        <w:rPr>
          <w:rFonts w:ascii="Tahoma" w:hAnsi="Tahoma" w:cs="Tahoma"/>
          <w:bCs/>
          <w:lang w:val="fr-FR"/>
        </w:rPr>
        <w:t xml:space="preserve"> of Culture and Tourism – Abu Dhabi soutient les activités intellectuelles et artistiques et diverses manifestations culturelles, pour favoriser l’environnement et la richesse de la scène culturelle, et mettre à l'honneur le patrimoine de l'émirat. Un des rôles essentiels de cette autorité est de créer une synergie dans le développement et la promotion d’Abu Dhabi, à travers une coordination étroite des différentes institutions parties prenantes.</w:t>
      </w:r>
    </w:p>
    <w:sectPr w:rsidR="00131042" w:rsidRPr="00D16B16" w:rsidSect="006D30B5">
      <w:footerReference w:type="default" r:id="rId14"/>
      <w:headerReference w:type="first" r:id="rId15"/>
      <w:footerReference w:type="first" r:id="rId16"/>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B46B1" w14:textId="77777777" w:rsidR="00C52A13" w:rsidRDefault="00C52A13" w:rsidP="00902929">
      <w:r>
        <w:separator/>
      </w:r>
    </w:p>
  </w:endnote>
  <w:endnote w:type="continuationSeparator" w:id="0">
    <w:p w14:paraId="74402594" w14:textId="77777777" w:rsidR="00C52A13" w:rsidRDefault="00C52A13" w:rsidP="0090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Light">
    <w:altName w:val="Sylfaen"/>
    <w:panose1 w:val="020B0502040204020203"/>
    <w:charset w:val="00"/>
    <w:family w:val="swiss"/>
    <w:pitch w:val="variable"/>
    <w:sig w:usb0="E00002FF" w:usb1="4000A47B"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emibold">
    <w:altName w:val="Sylfaen"/>
    <w:panose1 w:val="020B0702040204020203"/>
    <w:charset w:val="00"/>
    <w:family w:val="swiss"/>
    <w:pitch w:val="variable"/>
    <w:sig w:usb0="E00002FF" w:usb1="4000A47B" w:usb2="00000001"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utiger LT Pro 45 Light">
    <w:altName w:val="Arial"/>
    <w:panose1 w:val="00000000000000000000"/>
    <w:charset w:val="00"/>
    <w:family w:val="swiss"/>
    <w:notTrueType/>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Linux biolinu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7E5BC" w14:textId="3686DF1E" w:rsidR="00DE28BC" w:rsidRPr="00D42E84" w:rsidRDefault="00DE28BC" w:rsidP="00D42E84">
    <w:pPr>
      <w:pStyle w:val="Pieddepage"/>
      <w:jc w:val="righ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6D2E9" w14:textId="20A54514" w:rsidR="006D30B5" w:rsidRDefault="006D30B5" w:rsidP="00B26A01">
    <w:pPr>
      <w:pStyle w:val="Pieddepage"/>
      <w:jc w:val="right"/>
      <w:rPr>
        <w:sz w:val="14"/>
      </w:rPr>
    </w:pPr>
  </w:p>
  <w:p w14:paraId="7F57D8B8" w14:textId="77777777" w:rsidR="003831F4" w:rsidRPr="00B26A01" w:rsidRDefault="003831F4" w:rsidP="00B26A01">
    <w:pPr>
      <w:pStyle w:val="Pieddepage"/>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246B0" w14:textId="77777777" w:rsidR="00C52A13" w:rsidRDefault="00C52A13" w:rsidP="00902929">
      <w:r>
        <w:separator/>
      </w:r>
    </w:p>
  </w:footnote>
  <w:footnote w:type="continuationSeparator" w:id="0">
    <w:p w14:paraId="6279F2C5" w14:textId="77777777" w:rsidR="00C52A13" w:rsidRDefault="00C52A13" w:rsidP="0090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E5C43" w14:textId="1B930833" w:rsidR="00EB56B2" w:rsidRDefault="004D20C4" w:rsidP="004D20C4">
    <w:pPr>
      <w:pStyle w:val="rightalign"/>
      <w:spacing w:before="240" w:after="360"/>
      <w:jc w:val="left"/>
    </w:pPr>
    <w:r>
      <w:rPr>
        <w:noProof/>
        <w:lang w:val="fr-FR" w:eastAsia="fr-FR"/>
      </w:rPr>
      <w:drawing>
        <wp:anchor distT="0" distB="0" distL="114300" distR="114300" simplePos="0" relativeHeight="251659264" behindDoc="1" locked="0" layoutInCell="1" allowOverlap="1" wp14:anchorId="6EB781C1" wp14:editId="3DC5515C">
          <wp:simplePos x="0" y="0"/>
          <wp:positionH relativeFrom="column">
            <wp:posOffset>-225806</wp:posOffset>
          </wp:positionH>
          <wp:positionV relativeFrom="paragraph">
            <wp:posOffset>-193675</wp:posOffset>
          </wp:positionV>
          <wp:extent cx="2085975" cy="647700"/>
          <wp:effectExtent l="0" t="0" r="9525" b="0"/>
          <wp:wrapTight wrapText="bothSides">
            <wp:wrapPolygon edited="0">
              <wp:start x="0" y="0"/>
              <wp:lineTo x="0" y="20965"/>
              <wp:lineTo x="21501" y="20965"/>
              <wp:lineTo x="21501" y="0"/>
              <wp:lineTo x="0" y="0"/>
            </wp:wrapPolygon>
          </wp:wrapTight>
          <wp:docPr id="2" name="Picture 2" descr="cid:image001.jpg@01D53A37.82A39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53A37.82A39A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859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8240" behindDoc="1" locked="0" layoutInCell="1" allowOverlap="1" wp14:anchorId="1F5AB8E8" wp14:editId="5FC07D1A">
          <wp:simplePos x="0" y="0"/>
          <wp:positionH relativeFrom="column">
            <wp:posOffset>4885486</wp:posOffset>
          </wp:positionH>
          <wp:positionV relativeFrom="paragraph">
            <wp:posOffset>-354381</wp:posOffset>
          </wp:positionV>
          <wp:extent cx="1082040" cy="1082040"/>
          <wp:effectExtent l="0" t="0" r="3810" b="3810"/>
          <wp:wrapTight wrapText="bothSides">
            <wp:wrapPolygon edited="0">
              <wp:start x="0" y="0"/>
              <wp:lineTo x="0" y="21296"/>
              <wp:lineTo x="21296" y="21296"/>
              <wp:lineTo x="21296"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kBA_xm_400x400.jpg"/>
                  <pic:cNvPicPr/>
                </pic:nvPicPr>
                <pic:blipFill>
                  <a:blip r:embed="rId3">
                    <a:extLst>
                      <a:ext uri="{28A0092B-C50C-407E-A947-70E740481C1C}">
                        <a14:useLocalDpi xmlns:a14="http://schemas.microsoft.com/office/drawing/2010/main" val="0"/>
                      </a:ext>
                    </a:extLst>
                  </a:blip>
                  <a:stretch>
                    <a:fillRect/>
                  </a:stretch>
                </pic:blipFill>
                <pic:spPr>
                  <a:xfrm>
                    <a:off x="0" y="0"/>
                    <a:ext cx="1082040" cy="1082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6D55"/>
    <w:multiLevelType w:val="hybridMultilevel"/>
    <w:tmpl w:val="A5A6705E"/>
    <w:lvl w:ilvl="0" w:tplc="569C06D0">
      <w:numFmt w:val="bullet"/>
      <w:lvlText w:val="-"/>
      <w:lvlJc w:val="left"/>
      <w:pPr>
        <w:ind w:left="720" w:hanging="360"/>
      </w:pPr>
      <w:rPr>
        <w:rFonts w:ascii="Segoe UI Light" w:eastAsiaTheme="minorHAnsi" w:hAnsi="Segoe UI Light" w:cs="Segoe U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83C51"/>
    <w:multiLevelType w:val="hybridMultilevel"/>
    <w:tmpl w:val="5720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810B6"/>
    <w:multiLevelType w:val="hybridMultilevel"/>
    <w:tmpl w:val="B362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53DA7"/>
    <w:multiLevelType w:val="hybridMultilevel"/>
    <w:tmpl w:val="C3DE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C41C1"/>
    <w:multiLevelType w:val="hybridMultilevel"/>
    <w:tmpl w:val="EF0E6B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6D7B83"/>
    <w:multiLevelType w:val="hybridMultilevel"/>
    <w:tmpl w:val="2A50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D174E"/>
    <w:multiLevelType w:val="hybridMultilevel"/>
    <w:tmpl w:val="A326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44128"/>
    <w:multiLevelType w:val="hybridMultilevel"/>
    <w:tmpl w:val="DE423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CB0B71"/>
    <w:multiLevelType w:val="hybridMultilevel"/>
    <w:tmpl w:val="392468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042CF9"/>
    <w:multiLevelType w:val="hybridMultilevel"/>
    <w:tmpl w:val="F990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25783"/>
    <w:multiLevelType w:val="hybridMultilevel"/>
    <w:tmpl w:val="17DC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06ED0"/>
    <w:multiLevelType w:val="hybridMultilevel"/>
    <w:tmpl w:val="EE6A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C4458"/>
    <w:multiLevelType w:val="hybridMultilevel"/>
    <w:tmpl w:val="5AEC7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50137D"/>
    <w:multiLevelType w:val="hybridMultilevel"/>
    <w:tmpl w:val="B53C7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C6532C"/>
    <w:multiLevelType w:val="hybridMultilevel"/>
    <w:tmpl w:val="286C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9D1C7A"/>
    <w:multiLevelType w:val="hybridMultilevel"/>
    <w:tmpl w:val="6BD4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717E9F"/>
    <w:multiLevelType w:val="hybridMultilevel"/>
    <w:tmpl w:val="D07E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E095B"/>
    <w:multiLevelType w:val="hybridMultilevel"/>
    <w:tmpl w:val="808A8C24"/>
    <w:lvl w:ilvl="0" w:tplc="A80A1464">
      <w:start w:val="1"/>
      <w:numFmt w:val="bullet"/>
      <w:pStyle w:val="Bullets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ED79C7"/>
    <w:multiLevelType w:val="hybridMultilevel"/>
    <w:tmpl w:val="4282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C2FDC"/>
    <w:multiLevelType w:val="hybridMultilevel"/>
    <w:tmpl w:val="8362EEA6"/>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50EB09A0"/>
    <w:multiLevelType w:val="hybridMultilevel"/>
    <w:tmpl w:val="02B0940E"/>
    <w:lvl w:ilvl="0" w:tplc="569C06D0">
      <w:numFmt w:val="bullet"/>
      <w:lvlText w:val="-"/>
      <w:lvlJc w:val="left"/>
      <w:pPr>
        <w:ind w:left="720" w:hanging="360"/>
      </w:pPr>
      <w:rPr>
        <w:rFonts w:ascii="Segoe UI Light" w:eastAsiaTheme="minorHAnsi" w:hAnsi="Segoe UI Light" w:cs="Segoe U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558B1"/>
    <w:multiLevelType w:val="hybridMultilevel"/>
    <w:tmpl w:val="7DF46A6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4E6546F"/>
    <w:multiLevelType w:val="hybridMultilevel"/>
    <w:tmpl w:val="E806E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9F0E17"/>
    <w:multiLevelType w:val="hybridMultilevel"/>
    <w:tmpl w:val="809091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1371D7"/>
    <w:multiLevelType w:val="hybridMultilevel"/>
    <w:tmpl w:val="3F3AE77E"/>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7171DB"/>
    <w:multiLevelType w:val="hybridMultilevel"/>
    <w:tmpl w:val="559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63146A"/>
    <w:multiLevelType w:val="hybridMultilevel"/>
    <w:tmpl w:val="A8FE8E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E37F08"/>
    <w:multiLevelType w:val="hybridMultilevel"/>
    <w:tmpl w:val="377018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7C7649"/>
    <w:multiLevelType w:val="hybridMultilevel"/>
    <w:tmpl w:val="1B7E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C6CB9"/>
    <w:multiLevelType w:val="hybridMultilevel"/>
    <w:tmpl w:val="5B5A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4260A2"/>
    <w:multiLevelType w:val="hybridMultilevel"/>
    <w:tmpl w:val="7DEA186C"/>
    <w:lvl w:ilvl="0" w:tplc="04090001">
      <w:start w:val="1"/>
      <w:numFmt w:val="bullet"/>
      <w:lvlText w:val=""/>
      <w:lvlJc w:val="left"/>
      <w:pPr>
        <w:ind w:left="360" w:hanging="360"/>
      </w:pPr>
      <w:rPr>
        <w:rFonts w:ascii="Symbol" w:hAnsi="Symbol" w:hint="default"/>
      </w:rPr>
    </w:lvl>
    <w:lvl w:ilvl="1" w:tplc="3DFA23B8">
      <w:numFmt w:val="bullet"/>
      <w:pStyle w:val="bullet2"/>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2A1ACA"/>
    <w:multiLevelType w:val="hybridMultilevel"/>
    <w:tmpl w:val="DB4444DE"/>
    <w:lvl w:ilvl="0" w:tplc="761EBDFC">
      <w:start w:val="1"/>
      <w:numFmt w:val="decimal"/>
      <w:pStyle w:val="Paragraphedeliste"/>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9F754F8"/>
    <w:multiLevelType w:val="hybridMultilevel"/>
    <w:tmpl w:val="CF06D2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31"/>
  </w:num>
  <w:num w:numId="4">
    <w:abstractNumId w:val="5"/>
  </w:num>
  <w:num w:numId="5">
    <w:abstractNumId w:val="27"/>
  </w:num>
  <w:num w:numId="6">
    <w:abstractNumId w:val="4"/>
  </w:num>
  <w:num w:numId="7">
    <w:abstractNumId w:val="21"/>
  </w:num>
  <w:num w:numId="8">
    <w:abstractNumId w:val="19"/>
  </w:num>
  <w:num w:numId="9">
    <w:abstractNumId w:val="7"/>
  </w:num>
  <w:num w:numId="10">
    <w:abstractNumId w:val="6"/>
  </w:num>
  <w:num w:numId="11">
    <w:abstractNumId w:val="12"/>
  </w:num>
  <w:num w:numId="12">
    <w:abstractNumId w:val="24"/>
  </w:num>
  <w:num w:numId="13">
    <w:abstractNumId w:val="23"/>
  </w:num>
  <w:num w:numId="14">
    <w:abstractNumId w:val="1"/>
  </w:num>
  <w:num w:numId="15">
    <w:abstractNumId w:val="18"/>
  </w:num>
  <w:num w:numId="16">
    <w:abstractNumId w:val="25"/>
  </w:num>
  <w:num w:numId="17">
    <w:abstractNumId w:val="11"/>
  </w:num>
  <w:num w:numId="18">
    <w:abstractNumId w:val="26"/>
  </w:num>
  <w:num w:numId="19">
    <w:abstractNumId w:val="10"/>
  </w:num>
  <w:num w:numId="20">
    <w:abstractNumId w:val="28"/>
  </w:num>
  <w:num w:numId="21">
    <w:abstractNumId w:val="9"/>
  </w:num>
  <w:num w:numId="22">
    <w:abstractNumId w:val="2"/>
  </w:num>
  <w:num w:numId="23">
    <w:abstractNumId w:val="14"/>
  </w:num>
  <w:num w:numId="24">
    <w:abstractNumId w:val="32"/>
  </w:num>
  <w:num w:numId="25">
    <w:abstractNumId w:val="13"/>
  </w:num>
  <w:num w:numId="26">
    <w:abstractNumId w:val="3"/>
  </w:num>
  <w:num w:numId="27">
    <w:abstractNumId w:val="16"/>
  </w:num>
  <w:num w:numId="28">
    <w:abstractNumId w:val="29"/>
  </w:num>
  <w:num w:numId="29">
    <w:abstractNumId w:val="15"/>
  </w:num>
  <w:num w:numId="30">
    <w:abstractNumId w:val="8"/>
  </w:num>
  <w:num w:numId="31">
    <w:abstractNumId w:val="22"/>
  </w:num>
  <w:num w:numId="32">
    <w:abstractNumId w:val="0"/>
  </w:num>
  <w:num w:numId="3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fr-FR" w:vendorID="64" w:dllVersion="131078" w:nlCheck="1" w:checkStyle="0"/>
  <w:proofState w:spelling="clean" w:grammar="clean"/>
  <w:defaultTabStop w:val="113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1B"/>
    <w:rsid w:val="000008A1"/>
    <w:rsid w:val="00001CD5"/>
    <w:rsid w:val="00006F90"/>
    <w:rsid w:val="0001197D"/>
    <w:rsid w:val="00012963"/>
    <w:rsid w:val="000142E8"/>
    <w:rsid w:val="00017313"/>
    <w:rsid w:val="000178B6"/>
    <w:rsid w:val="00024D99"/>
    <w:rsid w:val="00025AF8"/>
    <w:rsid w:val="00036FA5"/>
    <w:rsid w:val="000401E8"/>
    <w:rsid w:val="0004780F"/>
    <w:rsid w:val="00052B6B"/>
    <w:rsid w:val="00054202"/>
    <w:rsid w:val="00060862"/>
    <w:rsid w:val="00064236"/>
    <w:rsid w:val="0006686B"/>
    <w:rsid w:val="000724A1"/>
    <w:rsid w:val="0008350A"/>
    <w:rsid w:val="000835A3"/>
    <w:rsid w:val="00085423"/>
    <w:rsid w:val="00085987"/>
    <w:rsid w:val="00087218"/>
    <w:rsid w:val="00092828"/>
    <w:rsid w:val="00094DEA"/>
    <w:rsid w:val="00097052"/>
    <w:rsid w:val="000A6360"/>
    <w:rsid w:val="000B7797"/>
    <w:rsid w:val="000B7D10"/>
    <w:rsid w:val="000C11D7"/>
    <w:rsid w:val="000C3685"/>
    <w:rsid w:val="000C48E0"/>
    <w:rsid w:val="000D1623"/>
    <w:rsid w:val="000D2A5C"/>
    <w:rsid w:val="000D6363"/>
    <w:rsid w:val="000D7A21"/>
    <w:rsid w:val="000E47AD"/>
    <w:rsid w:val="000E6092"/>
    <w:rsid w:val="000E6238"/>
    <w:rsid w:val="001000D6"/>
    <w:rsid w:val="00102D54"/>
    <w:rsid w:val="00103EB4"/>
    <w:rsid w:val="001058EE"/>
    <w:rsid w:val="0011300F"/>
    <w:rsid w:val="001240FA"/>
    <w:rsid w:val="00125740"/>
    <w:rsid w:val="00126A7C"/>
    <w:rsid w:val="0013090E"/>
    <w:rsid w:val="00131042"/>
    <w:rsid w:val="00137959"/>
    <w:rsid w:val="00144F6A"/>
    <w:rsid w:val="001450E9"/>
    <w:rsid w:val="00152837"/>
    <w:rsid w:val="00154CF3"/>
    <w:rsid w:val="001572E0"/>
    <w:rsid w:val="00160A69"/>
    <w:rsid w:val="00162E4E"/>
    <w:rsid w:val="0016436A"/>
    <w:rsid w:val="001665A8"/>
    <w:rsid w:val="001708F5"/>
    <w:rsid w:val="00170F51"/>
    <w:rsid w:val="00180789"/>
    <w:rsid w:val="001812B3"/>
    <w:rsid w:val="00186F37"/>
    <w:rsid w:val="00186FB7"/>
    <w:rsid w:val="001903B5"/>
    <w:rsid w:val="001943AE"/>
    <w:rsid w:val="00195A52"/>
    <w:rsid w:val="0019625A"/>
    <w:rsid w:val="001B0922"/>
    <w:rsid w:val="001B29E3"/>
    <w:rsid w:val="001B661E"/>
    <w:rsid w:val="001C1F8F"/>
    <w:rsid w:val="001C7C2F"/>
    <w:rsid w:val="001D0381"/>
    <w:rsid w:val="001E0ECE"/>
    <w:rsid w:val="001E19D6"/>
    <w:rsid w:val="001E3775"/>
    <w:rsid w:val="001F094B"/>
    <w:rsid w:val="001F176E"/>
    <w:rsid w:val="001F3C6F"/>
    <w:rsid w:val="001F4A26"/>
    <w:rsid w:val="001F4D53"/>
    <w:rsid w:val="0020208F"/>
    <w:rsid w:val="0020386E"/>
    <w:rsid w:val="00207B1D"/>
    <w:rsid w:val="00212B3A"/>
    <w:rsid w:val="00226726"/>
    <w:rsid w:val="002309F1"/>
    <w:rsid w:val="00233CDE"/>
    <w:rsid w:val="00235E10"/>
    <w:rsid w:val="00236765"/>
    <w:rsid w:val="00236F61"/>
    <w:rsid w:val="00241B2C"/>
    <w:rsid w:val="00246195"/>
    <w:rsid w:val="00247789"/>
    <w:rsid w:val="00250481"/>
    <w:rsid w:val="002521D3"/>
    <w:rsid w:val="00252460"/>
    <w:rsid w:val="00253DCA"/>
    <w:rsid w:val="00260D0B"/>
    <w:rsid w:val="00262E46"/>
    <w:rsid w:val="00267905"/>
    <w:rsid w:val="002701D8"/>
    <w:rsid w:val="00274A0A"/>
    <w:rsid w:val="002778BB"/>
    <w:rsid w:val="00282649"/>
    <w:rsid w:val="002877CB"/>
    <w:rsid w:val="0029107F"/>
    <w:rsid w:val="00294C06"/>
    <w:rsid w:val="002957C4"/>
    <w:rsid w:val="002A1EF1"/>
    <w:rsid w:val="002A55E2"/>
    <w:rsid w:val="002A580E"/>
    <w:rsid w:val="002A635F"/>
    <w:rsid w:val="002A6716"/>
    <w:rsid w:val="002B34E2"/>
    <w:rsid w:val="002B3756"/>
    <w:rsid w:val="002B4063"/>
    <w:rsid w:val="002C1418"/>
    <w:rsid w:val="002C47D6"/>
    <w:rsid w:val="002C58CF"/>
    <w:rsid w:val="002C6CF0"/>
    <w:rsid w:val="002C6E61"/>
    <w:rsid w:val="002F2072"/>
    <w:rsid w:val="002F3301"/>
    <w:rsid w:val="002F361D"/>
    <w:rsid w:val="002F4744"/>
    <w:rsid w:val="002F77D1"/>
    <w:rsid w:val="002F7DB1"/>
    <w:rsid w:val="00310581"/>
    <w:rsid w:val="00311E09"/>
    <w:rsid w:val="0031740E"/>
    <w:rsid w:val="00321C35"/>
    <w:rsid w:val="00332013"/>
    <w:rsid w:val="00337F99"/>
    <w:rsid w:val="003410D1"/>
    <w:rsid w:val="003438AD"/>
    <w:rsid w:val="00344DE1"/>
    <w:rsid w:val="00364DF0"/>
    <w:rsid w:val="00373E8B"/>
    <w:rsid w:val="00376AD5"/>
    <w:rsid w:val="00382BB1"/>
    <w:rsid w:val="003831F4"/>
    <w:rsid w:val="00384F0A"/>
    <w:rsid w:val="00390780"/>
    <w:rsid w:val="00391521"/>
    <w:rsid w:val="003A26A5"/>
    <w:rsid w:val="003A2CC7"/>
    <w:rsid w:val="003A5EF5"/>
    <w:rsid w:val="003A7D95"/>
    <w:rsid w:val="003B535E"/>
    <w:rsid w:val="003C6D98"/>
    <w:rsid w:val="003D7E7D"/>
    <w:rsid w:val="003E0FBF"/>
    <w:rsid w:val="003E6D51"/>
    <w:rsid w:val="003F3C6C"/>
    <w:rsid w:val="003F4674"/>
    <w:rsid w:val="003F5F64"/>
    <w:rsid w:val="00400332"/>
    <w:rsid w:val="0040037A"/>
    <w:rsid w:val="0040051B"/>
    <w:rsid w:val="004076CD"/>
    <w:rsid w:val="00410AC1"/>
    <w:rsid w:val="00424531"/>
    <w:rsid w:val="004246F4"/>
    <w:rsid w:val="00424880"/>
    <w:rsid w:val="00425C35"/>
    <w:rsid w:val="0043097F"/>
    <w:rsid w:val="00434EEF"/>
    <w:rsid w:val="00441656"/>
    <w:rsid w:val="00442CB8"/>
    <w:rsid w:val="00446364"/>
    <w:rsid w:val="00451407"/>
    <w:rsid w:val="004526E6"/>
    <w:rsid w:val="00452EA0"/>
    <w:rsid w:val="00460495"/>
    <w:rsid w:val="00464309"/>
    <w:rsid w:val="00472D42"/>
    <w:rsid w:val="00480329"/>
    <w:rsid w:val="0048201B"/>
    <w:rsid w:val="004835F1"/>
    <w:rsid w:val="004851E1"/>
    <w:rsid w:val="00495246"/>
    <w:rsid w:val="004A0466"/>
    <w:rsid w:val="004A176B"/>
    <w:rsid w:val="004A5B3E"/>
    <w:rsid w:val="004B65D8"/>
    <w:rsid w:val="004C1B60"/>
    <w:rsid w:val="004C32D8"/>
    <w:rsid w:val="004C7C01"/>
    <w:rsid w:val="004D20C4"/>
    <w:rsid w:val="004D2FE2"/>
    <w:rsid w:val="004D4968"/>
    <w:rsid w:val="004D4B12"/>
    <w:rsid w:val="004D7DA9"/>
    <w:rsid w:val="004E7A7D"/>
    <w:rsid w:val="004F276F"/>
    <w:rsid w:val="004F7F7D"/>
    <w:rsid w:val="00503205"/>
    <w:rsid w:val="00504504"/>
    <w:rsid w:val="005050EC"/>
    <w:rsid w:val="00511CBE"/>
    <w:rsid w:val="00514120"/>
    <w:rsid w:val="00516C43"/>
    <w:rsid w:val="00521A94"/>
    <w:rsid w:val="00530FEE"/>
    <w:rsid w:val="005331AE"/>
    <w:rsid w:val="005332AD"/>
    <w:rsid w:val="00533FFC"/>
    <w:rsid w:val="00537D31"/>
    <w:rsid w:val="00547533"/>
    <w:rsid w:val="00550EC8"/>
    <w:rsid w:val="0055168A"/>
    <w:rsid w:val="00553245"/>
    <w:rsid w:val="005603E3"/>
    <w:rsid w:val="00561CC7"/>
    <w:rsid w:val="00562C06"/>
    <w:rsid w:val="00562DFC"/>
    <w:rsid w:val="0057662D"/>
    <w:rsid w:val="00580107"/>
    <w:rsid w:val="00582FB0"/>
    <w:rsid w:val="00585369"/>
    <w:rsid w:val="00585E86"/>
    <w:rsid w:val="005901B0"/>
    <w:rsid w:val="00595FCC"/>
    <w:rsid w:val="005966EF"/>
    <w:rsid w:val="005971C8"/>
    <w:rsid w:val="005A611A"/>
    <w:rsid w:val="005B6002"/>
    <w:rsid w:val="005D17D9"/>
    <w:rsid w:val="005D6FF1"/>
    <w:rsid w:val="005E0949"/>
    <w:rsid w:val="005F295A"/>
    <w:rsid w:val="005F73DF"/>
    <w:rsid w:val="006029ED"/>
    <w:rsid w:val="00604378"/>
    <w:rsid w:val="00605C7E"/>
    <w:rsid w:val="006127CF"/>
    <w:rsid w:val="0061325C"/>
    <w:rsid w:val="00614601"/>
    <w:rsid w:val="00614E45"/>
    <w:rsid w:val="00615D0F"/>
    <w:rsid w:val="006204B7"/>
    <w:rsid w:val="006215FA"/>
    <w:rsid w:val="00622023"/>
    <w:rsid w:val="00622FA3"/>
    <w:rsid w:val="00622FDE"/>
    <w:rsid w:val="0062789F"/>
    <w:rsid w:val="006329F3"/>
    <w:rsid w:val="00633B3B"/>
    <w:rsid w:val="0064032E"/>
    <w:rsid w:val="00645252"/>
    <w:rsid w:val="0065265D"/>
    <w:rsid w:val="006622D7"/>
    <w:rsid w:val="0066231F"/>
    <w:rsid w:val="00663EC1"/>
    <w:rsid w:val="00666398"/>
    <w:rsid w:val="006733BA"/>
    <w:rsid w:val="00680F30"/>
    <w:rsid w:val="0068122F"/>
    <w:rsid w:val="00686A44"/>
    <w:rsid w:val="006907A1"/>
    <w:rsid w:val="006946C2"/>
    <w:rsid w:val="00695C9A"/>
    <w:rsid w:val="006A644B"/>
    <w:rsid w:val="006B0058"/>
    <w:rsid w:val="006B1176"/>
    <w:rsid w:val="006B296C"/>
    <w:rsid w:val="006C4C13"/>
    <w:rsid w:val="006C4D30"/>
    <w:rsid w:val="006C6D2B"/>
    <w:rsid w:val="006D25A4"/>
    <w:rsid w:val="006D30B5"/>
    <w:rsid w:val="006D3D74"/>
    <w:rsid w:val="006D4014"/>
    <w:rsid w:val="006D43DE"/>
    <w:rsid w:val="006E053C"/>
    <w:rsid w:val="006E2EC7"/>
    <w:rsid w:val="006E4E28"/>
    <w:rsid w:val="006F18BF"/>
    <w:rsid w:val="006F2413"/>
    <w:rsid w:val="006F2E51"/>
    <w:rsid w:val="006F7247"/>
    <w:rsid w:val="00705CAE"/>
    <w:rsid w:val="00717482"/>
    <w:rsid w:val="007352FC"/>
    <w:rsid w:val="00741985"/>
    <w:rsid w:val="00741B82"/>
    <w:rsid w:val="0074587F"/>
    <w:rsid w:val="007501B4"/>
    <w:rsid w:val="007505A2"/>
    <w:rsid w:val="00753D09"/>
    <w:rsid w:val="0075440F"/>
    <w:rsid w:val="00775DF2"/>
    <w:rsid w:val="00783E89"/>
    <w:rsid w:val="00785FEC"/>
    <w:rsid w:val="0078600F"/>
    <w:rsid w:val="007871B3"/>
    <w:rsid w:val="007A45F3"/>
    <w:rsid w:val="007A46F9"/>
    <w:rsid w:val="007A6259"/>
    <w:rsid w:val="007B00C7"/>
    <w:rsid w:val="007B00FF"/>
    <w:rsid w:val="007C21A5"/>
    <w:rsid w:val="007C2593"/>
    <w:rsid w:val="007C3554"/>
    <w:rsid w:val="007C44C6"/>
    <w:rsid w:val="007C7612"/>
    <w:rsid w:val="007D2B57"/>
    <w:rsid w:val="007E2A1D"/>
    <w:rsid w:val="007E40FF"/>
    <w:rsid w:val="007F08ED"/>
    <w:rsid w:val="007F439A"/>
    <w:rsid w:val="00800ACE"/>
    <w:rsid w:val="008068B0"/>
    <w:rsid w:val="0080711D"/>
    <w:rsid w:val="008138E9"/>
    <w:rsid w:val="00816EE1"/>
    <w:rsid w:val="00824264"/>
    <w:rsid w:val="00825F31"/>
    <w:rsid w:val="008333A0"/>
    <w:rsid w:val="008353BC"/>
    <w:rsid w:val="008378E5"/>
    <w:rsid w:val="00842A99"/>
    <w:rsid w:val="00850FB9"/>
    <w:rsid w:val="00856CDF"/>
    <w:rsid w:val="00856F6D"/>
    <w:rsid w:val="008655AE"/>
    <w:rsid w:val="008707DC"/>
    <w:rsid w:val="00870CCB"/>
    <w:rsid w:val="008710C9"/>
    <w:rsid w:val="00875408"/>
    <w:rsid w:val="0087728D"/>
    <w:rsid w:val="00890071"/>
    <w:rsid w:val="00891B15"/>
    <w:rsid w:val="00892E07"/>
    <w:rsid w:val="00897E5D"/>
    <w:rsid w:val="008A062C"/>
    <w:rsid w:val="008A272D"/>
    <w:rsid w:val="008A64B3"/>
    <w:rsid w:val="008B20B1"/>
    <w:rsid w:val="008B7B2D"/>
    <w:rsid w:val="008C1E49"/>
    <w:rsid w:val="008C238A"/>
    <w:rsid w:val="008C6B20"/>
    <w:rsid w:val="008D04FE"/>
    <w:rsid w:val="008D2EDD"/>
    <w:rsid w:val="008D4D89"/>
    <w:rsid w:val="008D5DF5"/>
    <w:rsid w:val="008E1F47"/>
    <w:rsid w:val="008E2790"/>
    <w:rsid w:val="008E4183"/>
    <w:rsid w:val="008E6CF3"/>
    <w:rsid w:val="008F1FEF"/>
    <w:rsid w:val="008F6126"/>
    <w:rsid w:val="00900C0B"/>
    <w:rsid w:val="00902929"/>
    <w:rsid w:val="0091100E"/>
    <w:rsid w:val="00914120"/>
    <w:rsid w:val="00915362"/>
    <w:rsid w:val="00921068"/>
    <w:rsid w:val="00921E0D"/>
    <w:rsid w:val="0093630A"/>
    <w:rsid w:val="00936845"/>
    <w:rsid w:val="0093741E"/>
    <w:rsid w:val="00942365"/>
    <w:rsid w:val="00943578"/>
    <w:rsid w:val="00952BBB"/>
    <w:rsid w:val="00955CAD"/>
    <w:rsid w:val="00955EA3"/>
    <w:rsid w:val="0095673D"/>
    <w:rsid w:val="009619C2"/>
    <w:rsid w:val="00964A8C"/>
    <w:rsid w:val="00966D49"/>
    <w:rsid w:val="0097268F"/>
    <w:rsid w:val="00976C71"/>
    <w:rsid w:val="0098081D"/>
    <w:rsid w:val="00981819"/>
    <w:rsid w:val="00981B91"/>
    <w:rsid w:val="00985ECC"/>
    <w:rsid w:val="00990930"/>
    <w:rsid w:val="00991658"/>
    <w:rsid w:val="00994515"/>
    <w:rsid w:val="009A2553"/>
    <w:rsid w:val="009A29F2"/>
    <w:rsid w:val="009A70BB"/>
    <w:rsid w:val="009B4BD9"/>
    <w:rsid w:val="009C3735"/>
    <w:rsid w:val="009C50AD"/>
    <w:rsid w:val="009C6EF2"/>
    <w:rsid w:val="009D21C2"/>
    <w:rsid w:val="009F386A"/>
    <w:rsid w:val="00A0256F"/>
    <w:rsid w:val="00A02F5C"/>
    <w:rsid w:val="00A0444A"/>
    <w:rsid w:val="00A070CB"/>
    <w:rsid w:val="00A1084B"/>
    <w:rsid w:val="00A143FE"/>
    <w:rsid w:val="00A271B6"/>
    <w:rsid w:val="00A31F10"/>
    <w:rsid w:val="00A328A2"/>
    <w:rsid w:val="00A342EE"/>
    <w:rsid w:val="00A37E12"/>
    <w:rsid w:val="00A47BA4"/>
    <w:rsid w:val="00A573E4"/>
    <w:rsid w:val="00A60EA4"/>
    <w:rsid w:val="00A61019"/>
    <w:rsid w:val="00A61E29"/>
    <w:rsid w:val="00A62513"/>
    <w:rsid w:val="00A67620"/>
    <w:rsid w:val="00A7262E"/>
    <w:rsid w:val="00A76725"/>
    <w:rsid w:val="00A76CD6"/>
    <w:rsid w:val="00A84274"/>
    <w:rsid w:val="00A84BFB"/>
    <w:rsid w:val="00A86F57"/>
    <w:rsid w:val="00A91618"/>
    <w:rsid w:val="00A9204E"/>
    <w:rsid w:val="00A932FE"/>
    <w:rsid w:val="00A9528A"/>
    <w:rsid w:val="00A9690D"/>
    <w:rsid w:val="00A96DC0"/>
    <w:rsid w:val="00A96E88"/>
    <w:rsid w:val="00AA471C"/>
    <w:rsid w:val="00AA73A4"/>
    <w:rsid w:val="00AB1E92"/>
    <w:rsid w:val="00AB1EFC"/>
    <w:rsid w:val="00AB6E06"/>
    <w:rsid w:val="00AC6F1A"/>
    <w:rsid w:val="00AD057B"/>
    <w:rsid w:val="00AE68F9"/>
    <w:rsid w:val="00AF0BA5"/>
    <w:rsid w:val="00AF51EA"/>
    <w:rsid w:val="00AF7549"/>
    <w:rsid w:val="00B00494"/>
    <w:rsid w:val="00B017C6"/>
    <w:rsid w:val="00B0273D"/>
    <w:rsid w:val="00B10067"/>
    <w:rsid w:val="00B15AFA"/>
    <w:rsid w:val="00B200A0"/>
    <w:rsid w:val="00B22D4B"/>
    <w:rsid w:val="00B26A01"/>
    <w:rsid w:val="00B421DB"/>
    <w:rsid w:val="00B42784"/>
    <w:rsid w:val="00B42B06"/>
    <w:rsid w:val="00B46BC0"/>
    <w:rsid w:val="00B47B4A"/>
    <w:rsid w:val="00B47C12"/>
    <w:rsid w:val="00B533C6"/>
    <w:rsid w:val="00B571DE"/>
    <w:rsid w:val="00B575A3"/>
    <w:rsid w:val="00B5778E"/>
    <w:rsid w:val="00B603D3"/>
    <w:rsid w:val="00B6063D"/>
    <w:rsid w:val="00B62202"/>
    <w:rsid w:val="00B64A66"/>
    <w:rsid w:val="00B6692F"/>
    <w:rsid w:val="00B67CDF"/>
    <w:rsid w:val="00B709B4"/>
    <w:rsid w:val="00B73C16"/>
    <w:rsid w:val="00B73EBC"/>
    <w:rsid w:val="00B75A71"/>
    <w:rsid w:val="00B76875"/>
    <w:rsid w:val="00B869EB"/>
    <w:rsid w:val="00B86AC7"/>
    <w:rsid w:val="00B91F8D"/>
    <w:rsid w:val="00B936F6"/>
    <w:rsid w:val="00BA1DCD"/>
    <w:rsid w:val="00BA3A8E"/>
    <w:rsid w:val="00BA3B89"/>
    <w:rsid w:val="00BA4FB8"/>
    <w:rsid w:val="00BB3172"/>
    <w:rsid w:val="00BB4FA1"/>
    <w:rsid w:val="00BB5289"/>
    <w:rsid w:val="00BB5635"/>
    <w:rsid w:val="00BB722C"/>
    <w:rsid w:val="00BC1B7C"/>
    <w:rsid w:val="00BC4651"/>
    <w:rsid w:val="00BC4F25"/>
    <w:rsid w:val="00BD0597"/>
    <w:rsid w:val="00BD08DA"/>
    <w:rsid w:val="00BD20FF"/>
    <w:rsid w:val="00BD66C2"/>
    <w:rsid w:val="00BF07CE"/>
    <w:rsid w:val="00BF2712"/>
    <w:rsid w:val="00BF4CCD"/>
    <w:rsid w:val="00BF77FE"/>
    <w:rsid w:val="00C0188D"/>
    <w:rsid w:val="00C01AB6"/>
    <w:rsid w:val="00C02BC6"/>
    <w:rsid w:val="00C03033"/>
    <w:rsid w:val="00C05927"/>
    <w:rsid w:val="00C200E2"/>
    <w:rsid w:val="00C20129"/>
    <w:rsid w:val="00C26459"/>
    <w:rsid w:val="00C317DF"/>
    <w:rsid w:val="00C33272"/>
    <w:rsid w:val="00C34E79"/>
    <w:rsid w:val="00C35117"/>
    <w:rsid w:val="00C3718C"/>
    <w:rsid w:val="00C374FE"/>
    <w:rsid w:val="00C37DBF"/>
    <w:rsid w:val="00C41634"/>
    <w:rsid w:val="00C460B0"/>
    <w:rsid w:val="00C4720A"/>
    <w:rsid w:val="00C52A13"/>
    <w:rsid w:val="00C54869"/>
    <w:rsid w:val="00C61BCC"/>
    <w:rsid w:val="00C7492F"/>
    <w:rsid w:val="00C77225"/>
    <w:rsid w:val="00C82090"/>
    <w:rsid w:val="00C8214A"/>
    <w:rsid w:val="00C92F23"/>
    <w:rsid w:val="00C966A5"/>
    <w:rsid w:val="00C96BF4"/>
    <w:rsid w:val="00C97A16"/>
    <w:rsid w:val="00CA6B6C"/>
    <w:rsid w:val="00CA762D"/>
    <w:rsid w:val="00CC6C7B"/>
    <w:rsid w:val="00CD1A25"/>
    <w:rsid w:val="00CE1C03"/>
    <w:rsid w:val="00CE2233"/>
    <w:rsid w:val="00CF04B3"/>
    <w:rsid w:val="00CF1CC5"/>
    <w:rsid w:val="00CF64CC"/>
    <w:rsid w:val="00D0027D"/>
    <w:rsid w:val="00D03470"/>
    <w:rsid w:val="00D03E02"/>
    <w:rsid w:val="00D07AC6"/>
    <w:rsid w:val="00D16B16"/>
    <w:rsid w:val="00D16E77"/>
    <w:rsid w:val="00D16E7A"/>
    <w:rsid w:val="00D3230B"/>
    <w:rsid w:val="00D347B1"/>
    <w:rsid w:val="00D35610"/>
    <w:rsid w:val="00D36835"/>
    <w:rsid w:val="00D42E84"/>
    <w:rsid w:val="00D43FD9"/>
    <w:rsid w:val="00D45AE7"/>
    <w:rsid w:val="00D51D5A"/>
    <w:rsid w:val="00D71BC9"/>
    <w:rsid w:val="00D72C25"/>
    <w:rsid w:val="00D73C51"/>
    <w:rsid w:val="00D73CA5"/>
    <w:rsid w:val="00D73DF1"/>
    <w:rsid w:val="00D7497C"/>
    <w:rsid w:val="00D75BC0"/>
    <w:rsid w:val="00D77819"/>
    <w:rsid w:val="00D80F35"/>
    <w:rsid w:val="00D83A20"/>
    <w:rsid w:val="00D85C4E"/>
    <w:rsid w:val="00D87509"/>
    <w:rsid w:val="00D93AA5"/>
    <w:rsid w:val="00DA09F9"/>
    <w:rsid w:val="00DA2871"/>
    <w:rsid w:val="00DA2A63"/>
    <w:rsid w:val="00DB2085"/>
    <w:rsid w:val="00DB657C"/>
    <w:rsid w:val="00DC2731"/>
    <w:rsid w:val="00DC2DE0"/>
    <w:rsid w:val="00DC431A"/>
    <w:rsid w:val="00DC541E"/>
    <w:rsid w:val="00DD43DA"/>
    <w:rsid w:val="00DD5C0D"/>
    <w:rsid w:val="00DD7254"/>
    <w:rsid w:val="00DE0D50"/>
    <w:rsid w:val="00DE28BC"/>
    <w:rsid w:val="00DF1D86"/>
    <w:rsid w:val="00DF3313"/>
    <w:rsid w:val="00DF4ED7"/>
    <w:rsid w:val="00DF6D3F"/>
    <w:rsid w:val="00DF7AE9"/>
    <w:rsid w:val="00E060A2"/>
    <w:rsid w:val="00E07646"/>
    <w:rsid w:val="00E13770"/>
    <w:rsid w:val="00E3011D"/>
    <w:rsid w:val="00E31B78"/>
    <w:rsid w:val="00E345D1"/>
    <w:rsid w:val="00E47374"/>
    <w:rsid w:val="00E50BC4"/>
    <w:rsid w:val="00E51CE0"/>
    <w:rsid w:val="00E55F40"/>
    <w:rsid w:val="00E56020"/>
    <w:rsid w:val="00E56082"/>
    <w:rsid w:val="00E5696B"/>
    <w:rsid w:val="00E6444E"/>
    <w:rsid w:val="00E66A60"/>
    <w:rsid w:val="00E66C76"/>
    <w:rsid w:val="00E66D22"/>
    <w:rsid w:val="00E70777"/>
    <w:rsid w:val="00E71EE9"/>
    <w:rsid w:val="00E724F9"/>
    <w:rsid w:val="00E8202C"/>
    <w:rsid w:val="00E86D0A"/>
    <w:rsid w:val="00E92A12"/>
    <w:rsid w:val="00EA040F"/>
    <w:rsid w:val="00EA3169"/>
    <w:rsid w:val="00EA4354"/>
    <w:rsid w:val="00EA5657"/>
    <w:rsid w:val="00EA6403"/>
    <w:rsid w:val="00EA6A48"/>
    <w:rsid w:val="00EB56B2"/>
    <w:rsid w:val="00EC4E32"/>
    <w:rsid w:val="00ED3F82"/>
    <w:rsid w:val="00ED40D5"/>
    <w:rsid w:val="00ED4D16"/>
    <w:rsid w:val="00ED4EF3"/>
    <w:rsid w:val="00EE01D9"/>
    <w:rsid w:val="00EE376F"/>
    <w:rsid w:val="00EE44AE"/>
    <w:rsid w:val="00EF0907"/>
    <w:rsid w:val="00EF1DD9"/>
    <w:rsid w:val="00EF7DF6"/>
    <w:rsid w:val="00F02314"/>
    <w:rsid w:val="00F03188"/>
    <w:rsid w:val="00F043B3"/>
    <w:rsid w:val="00F149E2"/>
    <w:rsid w:val="00F15430"/>
    <w:rsid w:val="00F162A8"/>
    <w:rsid w:val="00F2369E"/>
    <w:rsid w:val="00F240E3"/>
    <w:rsid w:val="00F254C8"/>
    <w:rsid w:val="00F27246"/>
    <w:rsid w:val="00F30D8E"/>
    <w:rsid w:val="00F35C57"/>
    <w:rsid w:val="00F40F07"/>
    <w:rsid w:val="00F47AC8"/>
    <w:rsid w:val="00F63C9A"/>
    <w:rsid w:val="00F65C79"/>
    <w:rsid w:val="00F671F0"/>
    <w:rsid w:val="00F701A3"/>
    <w:rsid w:val="00F736AE"/>
    <w:rsid w:val="00F815E0"/>
    <w:rsid w:val="00F82460"/>
    <w:rsid w:val="00F85515"/>
    <w:rsid w:val="00F878C8"/>
    <w:rsid w:val="00F95D36"/>
    <w:rsid w:val="00FA2AD4"/>
    <w:rsid w:val="00FB3329"/>
    <w:rsid w:val="00FB3ABF"/>
    <w:rsid w:val="00FB67E3"/>
    <w:rsid w:val="00FC72B8"/>
    <w:rsid w:val="00FD2230"/>
    <w:rsid w:val="00FD486B"/>
    <w:rsid w:val="00FE07DA"/>
    <w:rsid w:val="00FE5780"/>
    <w:rsid w:val="00FE5D6F"/>
    <w:rsid w:val="00FE6CB1"/>
    <w:rsid w:val="00FE736B"/>
    <w:rsid w:val="00FE78FF"/>
    <w:rsid w:val="00FF402C"/>
    <w:rsid w:val="00FF473E"/>
    <w:rsid w:val="00FF4E1C"/>
    <w:rsid w:val="00FF7D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81CA94"/>
  <w15:chartTrackingRefBased/>
  <w15:docId w15:val="{37B45BC9-7325-48BA-B4F5-A71C6E98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1F0"/>
    <w:pPr>
      <w:spacing w:after="120"/>
    </w:pPr>
    <w:rPr>
      <w:sz w:val="20"/>
      <w:szCs w:val="20"/>
    </w:rPr>
  </w:style>
  <w:style w:type="paragraph" w:styleId="Titre1">
    <w:name w:val="heading 1"/>
    <w:basedOn w:val="Normal"/>
    <w:next w:val="Normal"/>
    <w:link w:val="Titre1Car"/>
    <w:uiPriority w:val="9"/>
    <w:qFormat/>
    <w:rsid w:val="004F7F7D"/>
    <w:pPr>
      <w:keepNext/>
      <w:keepLines/>
      <w:spacing w:before="240" w:after="240"/>
      <w:outlineLvl w:val="0"/>
    </w:pPr>
    <w:rPr>
      <w:rFonts w:asciiTheme="majorHAnsi" w:eastAsiaTheme="majorEastAsia" w:hAnsiTheme="majorHAnsi" w:cstheme="majorBidi"/>
      <w:noProof/>
      <w:color w:val="001432" w:themeColor="text1"/>
      <w:sz w:val="36"/>
      <w:szCs w:val="32"/>
    </w:rPr>
  </w:style>
  <w:style w:type="paragraph" w:styleId="Titre2">
    <w:name w:val="heading 2"/>
    <w:basedOn w:val="Titre1"/>
    <w:next w:val="Normal"/>
    <w:link w:val="Titre2Car"/>
    <w:uiPriority w:val="9"/>
    <w:unhideWhenUsed/>
    <w:qFormat/>
    <w:rsid w:val="00B75A71"/>
    <w:pPr>
      <w:spacing w:before="360" w:after="120"/>
      <w:outlineLvl w:val="1"/>
    </w:pPr>
    <w:rPr>
      <w:color w:val="90A7B2" w:themeColor="accent3"/>
      <w:sz w:val="32"/>
    </w:rPr>
  </w:style>
  <w:style w:type="paragraph" w:styleId="Titre3">
    <w:name w:val="heading 3"/>
    <w:basedOn w:val="Titre1"/>
    <w:next w:val="Normal"/>
    <w:link w:val="Titre3Car"/>
    <w:uiPriority w:val="9"/>
    <w:unhideWhenUsed/>
    <w:qFormat/>
    <w:rsid w:val="00B75A71"/>
    <w:pPr>
      <w:spacing w:after="120"/>
      <w:outlineLvl w:val="2"/>
    </w:pPr>
    <w:rPr>
      <w:color w:val="62808E" w:themeColor="accent3" w:themeShade="BF"/>
      <w:sz w:val="28"/>
    </w:rPr>
  </w:style>
  <w:style w:type="paragraph" w:styleId="Titre4">
    <w:name w:val="heading 4"/>
    <w:basedOn w:val="Normal"/>
    <w:next w:val="Normal"/>
    <w:link w:val="Titre4Car"/>
    <w:uiPriority w:val="9"/>
    <w:unhideWhenUsed/>
    <w:qFormat/>
    <w:rsid w:val="00F47AC8"/>
    <w:pPr>
      <w:keepNext/>
      <w:keepLines/>
      <w:spacing w:before="240"/>
      <w:outlineLvl w:val="3"/>
    </w:pPr>
    <w:rPr>
      <w:rFonts w:asciiTheme="majorHAnsi" w:eastAsiaTheme="majorEastAsia" w:hAnsiTheme="majorHAnsi" w:cstheme="majorHAnsi"/>
      <w:iCs/>
      <w:color w:val="42555F" w:themeColor="accent3" w:themeShade="80"/>
    </w:rPr>
  </w:style>
  <w:style w:type="paragraph" w:styleId="Titre5">
    <w:name w:val="heading 5"/>
    <w:basedOn w:val="Normal"/>
    <w:next w:val="Normal"/>
    <w:link w:val="Titre5Car"/>
    <w:uiPriority w:val="9"/>
    <w:unhideWhenUsed/>
    <w:qFormat/>
    <w:rsid w:val="00B75A71"/>
    <w:pPr>
      <w:keepNext/>
      <w:keepLines/>
      <w:spacing w:before="240" w:after="60"/>
      <w:outlineLvl w:val="4"/>
    </w:pPr>
    <w:rPr>
      <w:rFonts w:asciiTheme="majorHAnsi" w:eastAsiaTheme="majorEastAsia" w:hAnsiTheme="majorHAnsi" w:cstheme="majorHAnsi"/>
      <w:color w:val="001432" w:themeColor="text1"/>
    </w:rPr>
  </w:style>
  <w:style w:type="paragraph" w:styleId="Titre6">
    <w:name w:val="heading 6"/>
    <w:basedOn w:val="Normal"/>
    <w:next w:val="Normal"/>
    <w:link w:val="Titre6Car"/>
    <w:uiPriority w:val="9"/>
    <w:unhideWhenUsed/>
    <w:qFormat/>
    <w:rsid w:val="00C20129"/>
    <w:pPr>
      <w:spacing w:before="240" w:after="20"/>
      <w:outlineLvl w:val="5"/>
    </w:pPr>
    <w:rPr>
      <w:rFonts w:cstheme="minorHAnsi"/>
      <w:color w:val="7962CE" w:themeColor="accent1"/>
    </w:rPr>
  </w:style>
  <w:style w:type="paragraph" w:styleId="Titre7">
    <w:name w:val="heading 7"/>
    <w:basedOn w:val="Normal"/>
    <w:next w:val="Normal"/>
    <w:link w:val="Titre7Car"/>
    <w:uiPriority w:val="9"/>
    <w:unhideWhenUsed/>
    <w:rsid w:val="006D3D74"/>
    <w:pPr>
      <w:keepNext/>
      <w:keepLines/>
      <w:spacing w:before="40"/>
      <w:outlineLvl w:val="6"/>
    </w:pPr>
    <w:rPr>
      <w:rFonts w:asciiTheme="majorHAnsi" w:eastAsiaTheme="majorEastAsia" w:hAnsiTheme="majorHAnsi" w:cstheme="majorBidi"/>
      <w:i/>
      <w:iCs/>
      <w:color w:val="342473" w:themeColor="accent1" w:themeShade="7F"/>
    </w:rPr>
  </w:style>
  <w:style w:type="paragraph" w:styleId="Titre8">
    <w:name w:val="heading 8"/>
    <w:basedOn w:val="Normal"/>
    <w:next w:val="Normal"/>
    <w:link w:val="Titre8Car"/>
    <w:uiPriority w:val="9"/>
    <w:unhideWhenUsed/>
    <w:rsid w:val="007A45F3"/>
    <w:pPr>
      <w:keepNext/>
      <w:keepLines/>
      <w:spacing w:before="40"/>
      <w:outlineLvl w:val="7"/>
    </w:pPr>
    <w:rPr>
      <w:rFonts w:asciiTheme="majorHAnsi" w:eastAsiaTheme="majorEastAsia" w:hAnsiTheme="majorHAnsi" w:cstheme="majorBidi"/>
      <w:color w:val="4F36AD" w:themeColor="accent1" w:themeShade="BF"/>
      <w:szCs w:val="21"/>
    </w:rPr>
  </w:style>
  <w:style w:type="paragraph" w:styleId="Titre9">
    <w:name w:val="heading 9"/>
    <w:basedOn w:val="Normal"/>
    <w:next w:val="Normal"/>
    <w:link w:val="Titre9Car"/>
    <w:uiPriority w:val="9"/>
    <w:unhideWhenUsed/>
    <w:rsid w:val="007A45F3"/>
    <w:pPr>
      <w:keepNext/>
      <w:keepLines/>
      <w:spacing w:before="40"/>
      <w:outlineLvl w:val="8"/>
    </w:pPr>
    <w:rPr>
      <w:rFonts w:asciiTheme="majorHAnsi" w:eastAsiaTheme="majorEastAsia" w:hAnsiTheme="majorHAnsi" w:cstheme="majorBidi"/>
      <w:i/>
      <w:iCs/>
      <w:color w:val="4F36AD" w:themeColor="accent1" w:themeShade="BF"/>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Titre2Car">
    <w:name w:val="Titre 2 Car"/>
    <w:basedOn w:val="Policepardfaut"/>
    <w:link w:val="Titre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Titre3Car">
    <w:name w:val="Titre 3 Car"/>
    <w:basedOn w:val="Policepardfaut"/>
    <w:link w:val="Titre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Titre4Car">
    <w:name w:val="Titre 4 Car"/>
    <w:basedOn w:val="Policepardfaut"/>
    <w:link w:val="Titre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Titre5Car">
    <w:name w:val="Titre 5 Car"/>
    <w:basedOn w:val="Policepardfaut"/>
    <w:link w:val="Titre5"/>
    <w:uiPriority w:val="9"/>
    <w:rsid w:val="00B75A71"/>
    <w:rPr>
      <w:rFonts w:asciiTheme="majorHAnsi" w:eastAsiaTheme="majorEastAsia" w:hAnsiTheme="majorHAnsi" w:cstheme="majorHAnsi"/>
      <w:color w:val="001432" w:themeColor="text1"/>
      <w:sz w:val="20"/>
      <w:lang w:val="en-GB"/>
    </w:rPr>
  </w:style>
  <w:style w:type="character" w:customStyle="1" w:styleId="Titre6Car">
    <w:name w:val="Titre 6 Car"/>
    <w:basedOn w:val="Policepardfaut"/>
    <w:link w:val="Titre6"/>
    <w:uiPriority w:val="9"/>
    <w:rsid w:val="00C20129"/>
    <w:rPr>
      <w:rFonts w:cstheme="minorHAnsi"/>
      <w:color w:val="7962CE" w:themeColor="accent1"/>
      <w:sz w:val="18"/>
    </w:rPr>
  </w:style>
  <w:style w:type="character" w:customStyle="1" w:styleId="Titre7Car">
    <w:name w:val="Titre 7 Car"/>
    <w:basedOn w:val="Policepardfaut"/>
    <w:link w:val="Titre7"/>
    <w:uiPriority w:val="9"/>
    <w:rPr>
      <w:rFonts w:asciiTheme="majorHAnsi" w:eastAsiaTheme="majorEastAsia" w:hAnsiTheme="majorHAnsi" w:cstheme="majorBidi"/>
      <w:i/>
      <w:iCs/>
      <w:color w:val="342473" w:themeColor="accent1" w:themeShade="7F"/>
    </w:rPr>
  </w:style>
  <w:style w:type="character" w:customStyle="1" w:styleId="Titre8Car">
    <w:name w:val="Titre 8 Car"/>
    <w:basedOn w:val="Policepardfaut"/>
    <w:link w:val="Titre8"/>
    <w:uiPriority w:val="9"/>
    <w:rsid w:val="007A45F3"/>
    <w:rPr>
      <w:rFonts w:asciiTheme="majorHAnsi" w:eastAsiaTheme="majorEastAsia" w:hAnsiTheme="majorHAnsi" w:cstheme="majorBidi"/>
      <w:color w:val="4F36AD" w:themeColor="accent1" w:themeShade="BF"/>
      <w:sz w:val="20"/>
      <w:szCs w:val="21"/>
    </w:rPr>
  </w:style>
  <w:style w:type="character" w:customStyle="1" w:styleId="Titre9Car">
    <w:name w:val="Titre 9 Car"/>
    <w:basedOn w:val="Policepardfaut"/>
    <w:link w:val="Titre9"/>
    <w:uiPriority w:val="9"/>
    <w:rsid w:val="007A45F3"/>
    <w:rPr>
      <w:rFonts w:asciiTheme="majorHAnsi" w:eastAsiaTheme="majorEastAsia" w:hAnsiTheme="majorHAnsi" w:cstheme="majorBidi"/>
      <w:i/>
      <w:iCs/>
      <w:color w:val="4F36AD" w:themeColor="accent1" w:themeShade="BF"/>
      <w:sz w:val="20"/>
      <w:szCs w:val="21"/>
    </w:rPr>
  </w:style>
  <w:style w:type="paragraph" w:styleId="Titre">
    <w:name w:val="Title"/>
    <w:basedOn w:val="Normal"/>
    <w:next w:val="Normal"/>
    <w:link w:val="TitreCar"/>
    <w:uiPriority w:val="10"/>
    <w:qFormat/>
    <w:rsid w:val="00E56020"/>
    <w:pPr>
      <w:contextualSpacing/>
    </w:pPr>
    <w:rPr>
      <w:rFonts w:asciiTheme="majorHAnsi" w:eastAsiaTheme="majorEastAsia" w:hAnsiTheme="majorHAnsi" w:cstheme="majorBidi"/>
      <w:color w:val="001432" w:themeColor="text1"/>
      <w:spacing w:val="-10"/>
      <w:kern w:val="28"/>
      <w:sz w:val="72"/>
      <w:szCs w:val="56"/>
    </w:rPr>
  </w:style>
  <w:style w:type="character" w:customStyle="1" w:styleId="TitreCar">
    <w:name w:val="Titre Car"/>
    <w:basedOn w:val="Policepardfaut"/>
    <w:link w:val="Titre"/>
    <w:uiPriority w:val="10"/>
    <w:rsid w:val="00E56020"/>
    <w:rPr>
      <w:rFonts w:asciiTheme="majorHAnsi" w:eastAsiaTheme="majorEastAsia" w:hAnsiTheme="majorHAnsi" w:cstheme="majorBidi"/>
      <w:color w:val="001432" w:themeColor="text1"/>
      <w:spacing w:val="-10"/>
      <w:kern w:val="28"/>
      <w:sz w:val="72"/>
      <w:szCs w:val="56"/>
    </w:rPr>
  </w:style>
  <w:style w:type="character" w:styleId="Accentuation">
    <w:name w:val="Emphasis"/>
    <w:basedOn w:val="Policepardfaut"/>
    <w:uiPriority w:val="20"/>
    <w:rsid w:val="0093630A"/>
    <w:rPr>
      <w:i/>
      <w:iCs/>
    </w:rPr>
  </w:style>
  <w:style w:type="character" w:styleId="lev">
    <w:name w:val="Strong"/>
    <w:aliases w:val="Bold"/>
    <w:basedOn w:val="Policepardfaut"/>
    <w:uiPriority w:val="22"/>
    <w:qFormat/>
    <w:rsid w:val="008D4D89"/>
    <w:rPr>
      <w:rFonts w:asciiTheme="majorHAnsi" w:hAnsiTheme="majorHAnsi"/>
      <w:b w:val="0"/>
      <w:bCs/>
    </w:rPr>
  </w:style>
  <w:style w:type="paragraph" w:styleId="Citation">
    <w:name w:val="Quote"/>
    <w:basedOn w:val="Normal"/>
    <w:next w:val="Normal"/>
    <w:link w:val="CitationCar"/>
    <w:uiPriority w:val="29"/>
    <w:pPr>
      <w:spacing w:before="200"/>
      <w:ind w:left="864" w:right="864"/>
      <w:jc w:val="center"/>
    </w:pPr>
    <w:rPr>
      <w:i/>
      <w:iCs/>
      <w:color w:val="0042A5" w:themeColor="text1" w:themeTint="BF"/>
    </w:rPr>
  </w:style>
  <w:style w:type="character" w:customStyle="1" w:styleId="CitationCar">
    <w:name w:val="Citation Car"/>
    <w:basedOn w:val="Policepardfaut"/>
    <w:link w:val="Citation"/>
    <w:uiPriority w:val="29"/>
    <w:rPr>
      <w:i/>
      <w:iCs/>
      <w:color w:val="0042A5" w:themeColor="text1" w:themeTint="BF"/>
    </w:rPr>
  </w:style>
  <w:style w:type="paragraph" w:styleId="Citationintense">
    <w:name w:val="Intense Quote"/>
    <w:basedOn w:val="Normal"/>
    <w:next w:val="Normal"/>
    <w:link w:val="CitationintenseCar"/>
    <w:uiPriority w:val="30"/>
    <w:rsid w:val="00645252"/>
    <w:pPr>
      <w:pBdr>
        <w:top w:val="single" w:sz="4" w:space="10" w:color="352474" w:themeColor="accent1" w:themeShade="80"/>
        <w:bottom w:val="single" w:sz="4" w:space="10" w:color="352474" w:themeColor="accent1" w:themeShade="80"/>
      </w:pBdr>
      <w:spacing w:before="360" w:after="360"/>
      <w:ind w:left="864" w:right="864"/>
      <w:jc w:val="center"/>
    </w:pPr>
    <w:rPr>
      <w:i/>
      <w:iCs/>
      <w:color w:val="352474" w:themeColor="accent1" w:themeShade="80"/>
    </w:rPr>
  </w:style>
  <w:style w:type="character" w:customStyle="1" w:styleId="CitationintenseCar">
    <w:name w:val="Citation intense Car"/>
    <w:basedOn w:val="Policepardfaut"/>
    <w:link w:val="Citationintense"/>
    <w:uiPriority w:val="30"/>
    <w:rsid w:val="00645252"/>
    <w:rPr>
      <w:i/>
      <w:iCs/>
      <w:color w:val="352474" w:themeColor="accent1" w:themeShade="80"/>
    </w:rPr>
  </w:style>
  <w:style w:type="character" w:styleId="Lienhypertexte">
    <w:name w:val="Hyperlink"/>
    <w:basedOn w:val="Policepardfaut"/>
    <w:uiPriority w:val="99"/>
    <w:unhideWhenUsed/>
    <w:rsid w:val="00645252"/>
    <w:rPr>
      <w:color w:val="352474" w:themeColor="accent1" w:themeShade="80"/>
      <w:u w:val="single"/>
    </w:rPr>
  </w:style>
  <w:style w:type="character" w:styleId="Lienhypertextesuivivisit">
    <w:name w:val="FollowedHyperlink"/>
    <w:basedOn w:val="Policepardfaut"/>
    <w:uiPriority w:val="99"/>
    <w:unhideWhenUsed/>
    <w:rPr>
      <w:color w:val="1ED7D7" w:themeColor="followedHyperlink"/>
      <w:u w:val="single"/>
    </w:rPr>
  </w:style>
  <w:style w:type="paragraph" w:styleId="Textedebulles">
    <w:name w:val="Balloon Text"/>
    <w:basedOn w:val="Normal"/>
    <w:link w:val="TextedebullesCar"/>
    <w:uiPriority w:val="99"/>
    <w:semiHidden/>
    <w:unhideWhenUsed/>
    <w:rsid w:val="00645252"/>
    <w:rPr>
      <w:rFonts w:ascii="Segoe UI" w:hAnsi="Segoe UI" w:cs="Segoe UI"/>
      <w:szCs w:val="18"/>
    </w:rPr>
  </w:style>
  <w:style w:type="character" w:customStyle="1" w:styleId="TextedebullesCar">
    <w:name w:val="Texte de bulles Car"/>
    <w:basedOn w:val="Policepardfaut"/>
    <w:link w:val="Textedebulles"/>
    <w:uiPriority w:val="99"/>
    <w:semiHidden/>
    <w:rsid w:val="00645252"/>
    <w:rPr>
      <w:rFonts w:ascii="Segoe UI" w:hAnsi="Segoe UI" w:cs="Segoe UI"/>
      <w:szCs w:val="18"/>
    </w:rPr>
  </w:style>
  <w:style w:type="paragraph" w:styleId="Normalcentr">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ind w:left="1152" w:right="1152"/>
    </w:pPr>
    <w:rPr>
      <w:rFonts w:eastAsiaTheme="minorEastAsia"/>
      <w:i/>
      <w:iCs/>
      <w:color w:val="352474" w:themeColor="accent1" w:themeShade="80"/>
    </w:rPr>
  </w:style>
  <w:style w:type="paragraph" w:styleId="Corpsdetexte3">
    <w:name w:val="Body Text 3"/>
    <w:basedOn w:val="Normal"/>
    <w:link w:val="Corpsdetexte3Car"/>
    <w:uiPriority w:val="99"/>
    <w:semiHidden/>
    <w:unhideWhenUsed/>
    <w:rsid w:val="00645252"/>
    <w:rPr>
      <w:szCs w:val="16"/>
    </w:rPr>
  </w:style>
  <w:style w:type="character" w:customStyle="1" w:styleId="Corpsdetexte3Car">
    <w:name w:val="Corps de texte 3 Car"/>
    <w:basedOn w:val="Policepardfaut"/>
    <w:link w:val="Corpsdetexte3"/>
    <w:uiPriority w:val="99"/>
    <w:semiHidden/>
    <w:rsid w:val="00645252"/>
    <w:rPr>
      <w:szCs w:val="16"/>
    </w:rPr>
  </w:style>
  <w:style w:type="paragraph" w:styleId="Retraitcorpsdetexte3">
    <w:name w:val="Body Text Indent 3"/>
    <w:basedOn w:val="Normal"/>
    <w:link w:val="Retraitcorpsdetexte3Car"/>
    <w:uiPriority w:val="99"/>
    <w:semiHidden/>
    <w:unhideWhenUsed/>
    <w:rsid w:val="00645252"/>
    <w:pPr>
      <w:ind w:left="360"/>
    </w:pPr>
    <w:rPr>
      <w:szCs w:val="16"/>
    </w:rPr>
  </w:style>
  <w:style w:type="character" w:customStyle="1" w:styleId="Retraitcorpsdetexte3Car">
    <w:name w:val="Retrait corps de texte 3 Car"/>
    <w:basedOn w:val="Policepardfaut"/>
    <w:link w:val="Retraitcorpsdetexte3"/>
    <w:uiPriority w:val="99"/>
    <w:semiHidden/>
    <w:rsid w:val="00645252"/>
    <w:rPr>
      <w:szCs w:val="16"/>
    </w:rPr>
  </w:style>
  <w:style w:type="character" w:styleId="Marquedecommentaire">
    <w:name w:val="annotation reference"/>
    <w:basedOn w:val="Policepardfaut"/>
    <w:uiPriority w:val="99"/>
    <w:semiHidden/>
    <w:unhideWhenUsed/>
    <w:rsid w:val="00645252"/>
    <w:rPr>
      <w:sz w:val="22"/>
      <w:szCs w:val="16"/>
    </w:rPr>
  </w:style>
  <w:style w:type="paragraph" w:styleId="Commentaire">
    <w:name w:val="annotation text"/>
    <w:basedOn w:val="Normal"/>
    <w:link w:val="CommentaireCar"/>
    <w:uiPriority w:val="99"/>
    <w:unhideWhenUsed/>
    <w:rsid w:val="00645252"/>
  </w:style>
  <w:style w:type="character" w:customStyle="1" w:styleId="CommentaireCar">
    <w:name w:val="Commentaire Car"/>
    <w:basedOn w:val="Policepardfaut"/>
    <w:link w:val="Commentaire"/>
    <w:uiPriority w:val="99"/>
    <w:rsid w:val="00645252"/>
    <w:rPr>
      <w:szCs w:val="20"/>
    </w:rPr>
  </w:style>
  <w:style w:type="paragraph" w:styleId="Objetducommentaire">
    <w:name w:val="annotation subject"/>
    <w:basedOn w:val="Commentaire"/>
    <w:next w:val="Commentaire"/>
    <w:link w:val="ObjetducommentaireCar"/>
    <w:uiPriority w:val="99"/>
    <w:semiHidden/>
    <w:unhideWhenUsed/>
    <w:rsid w:val="00645252"/>
    <w:rPr>
      <w:b/>
      <w:bCs/>
    </w:rPr>
  </w:style>
  <w:style w:type="character" w:customStyle="1" w:styleId="ObjetducommentaireCar">
    <w:name w:val="Objet du commentaire Car"/>
    <w:basedOn w:val="CommentaireCar"/>
    <w:link w:val="Objetducommentaire"/>
    <w:uiPriority w:val="99"/>
    <w:semiHidden/>
    <w:rsid w:val="00645252"/>
    <w:rPr>
      <w:b/>
      <w:bCs/>
      <w:szCs w:val="20"/>
    </w:rPr>
  </w:style>
  <w:style w:type="paragraph" w:styleId="Explorateurdedocuments">
    <w:name w:val="Document Map"/>
    <w:basedOn w:val="Normal"/>
    <w:link w:val="ExplorateurdedocumentsCar"/>
    <w:uiPriority w:val="99"/>
    <w:semiHidden/>
    <w:unhideWhenUsed/>
    <w:rsid w:val="00645252"/>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645252"/>
    <w:rPr>
      <w:rFonts w:ascii="Segoe UI" w:hAnsi="Segoe UI" w:cs="Segoe UI"/>
      <w:szCs w:val="16"/>
    </w:rPr>
  </w:style>
  <w:style w:type="paragraph" w:styleId="Notedefin">
    <w:name w:val="endnote text"/>
    <w:basedOn w:val="Normal"/>
    <w:link w:val="NotedefinCar"/>
    <w:uiPriority w:val="99"/>
    <w:semiHidden/>
    <w:unhideWhenUsed/>
    <w:rsid w:val="00645252"/>
  </w:style>
  <w:style w:type="character" w:customStyle="1" w:styleId="NotedefinCar">
    <w:name w:val="Note de fin Car"/>
    <w:basedOn w:val="Policepardfaut"/>
    <w:link w:val="Notedefin"/>
    <w:uiPriority w:val="99"/>
    <w:semiHidden/>
    <w:rsid w:val="00645252"/>
    <w:rPr>
      <w:szCs w:val="20"/>
    </w:rPr>
  </w:style>
  <w:style w:type="paragraph" w:styleId="Adresseexpditeur">
    <w:name w:val="envelope return"/>
    <w:basedOn w:val="Normal"/>
    <w:uiPriority w:val="99"/>
    <w:semiHidden/>
    <w:unhideWhenUsed/>
    <w:rsid w:val="00645252"/>
    <w:rPr>
      <w:rFonts w:asciiTheme="majorHAnsi" w:eastAsiaTheme="majorEastAsia" w:hAnsiTheme="majorHAnsi" w:cstheme="majorBidi"/>
    </w:rPr>
  </w:style>
  <w:style w:type="paragraph" w:styleId="Notedebasdepage">
    <w:name w:val="footnote text"/>
    <w:basedOn w:val="Normal"/>
    <w:link w:val="NotedebasdepageCar"/>
    <w:uiPriority w:val="99"/>
    <w:semiHidden/>
    <w:unhideWhenUsed/>
    <w:rsid w:val="00645252"/>
  </w:style>
  <w:style w:type="character" w:customStyle="1" w:styleId="NotedebasdepageCar">
    <w:name w:val="Note de bas de page Car"/>
    <w:basedOn w:val="Policepardfaut"/>
    <w:link w:val="Notedebasdepage"/>
    <w:uiPriority w:val="99"/>
    <w:semiHidden/>
    <w:rsid w:val="00645252"/>
    <w:rPr>
      <w:szCs w:val="20"/>
    </w:rPr>
  </w:style>
  <w:style w:type="character" w:styleId="CodeHTML">
    <w:name w:val="HTML Code"/>
    <w:basedOn w:val="Policepardfaut"/>
    <w:uiPriority w:val="99"/>
    <w:semiHidden/>
    <w:unhideWhenUsed/>
    <w:rsid w:val="00645252"/>
    <w:rPr>
      <w:rFonts w:ascii="Consolas" w:hAnsi="Consolas"/>
      <w:sz w:val="22"/>
      <w:szCs w:val="20"/>
    </w:rPr>
  </w:style>
  <w:style w:type="character" w:styleId="ClavierHTML">
    <w:name w:val="HTML Keyboard"/>
    <w:basedOn w:val="Policepardfaut"/>
    <w:uiPriority w:val="99"/>
    <w:semiHidden/>
    <w:unhideWhenUsed/>
    <w:rsid w:val="00645252"/>
    <w:rPr>
      <w:rFonts w:ascii="Consolas" w:hAnsi="Consolas"/>
      <w:sz w:val="22"/>
      <w:szCs w:val="20"/>
    </w:rPr>
  </w:style>
  <w:style w:type="paragraph" w:styleId="PrformatHTML">
    <w:name w:val="HTML Preformatted"/>
    <w:basedOn w:val="Normal"/>
    <w:link w:val="PrformatHTMLCar"/>
    <w:uiPriority w:val="99"/>
    <w:semiHidden/>
    <w:unhideWhenUsed/>
    <w:rsid w:val="00645252"/>
    <w:rPr>
      <w:rFonts w:ascii="Consolas" w:hAnsi="Consolas"/>
    </w:rPr>
  </w:style>
  <w:style w:type="character" w:customStyle="1" w:styleId="PrformatHTMLCar">
    <w:name w:val="Préformaté HTML Car"/>
    <w:basedOn w:val="Policepardfaut"/>
    <w:link w:val="PrformatHTML"/>
    <w:uiPriority w:val="99"/>
    <w:semiHidden/>
    <w:rsid w:val="00645252"/>
    <w:rPr>
      <w:rFonts w:ascii="Consolas" w:hAnsi="Consolas"/>
      <w:szCs w:val="20"/>
    </w:rPr>
  </w:style>
  <w:style w:type="character" w:styleId="MachinecrireHTML">
    <w:name w:val="HTML Typewriter"/>
    <w:basedOn w:val="Policepardfaut"/>
    <w:uiPriority w:val="99"/>
    <w:semiHidden/>
    <w:unhideWhenUsed/>
    <w:rsid w:val="00645252"/>
    <w:rPr>
      <w:rFonts w:ascii="Consolas" w:hAnsi="Consolas"/>
      <w:sz w:val="22"/>
      <w:szCs w:val="20"/>
    </w:rPr>
  </w:style>
  <w:style w:type="paragraph" w:styleId="Textedemacro">
    <w:name w:val="macro"/>
    <w:link w:val="TextedemacroC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edemacroCar">
    <w:name w:val="Texte de macro Car"/>
    <w:basedOn w:val="Policepardfaut"/>
    <w:link w:val="Textedemacro"/>
    <w:uiPriority w:val="99"/>
    <w:semiHidden/>
    <w:rsid w:val="00645252"/>
    <w:rPr>
      <w:rFonts w:ascii="Consolas" w:hAnsi="Consolas"/>
      <w:szCs w:val="20"/>
    </w:rPr>
  </w:style>
  <w:style w:type="paragraph" w:styleId="Textebrut">
    <w:name w:val="Plain Text"/>
    <w:basedOn w:val="Normal"/>
    <w:link w:val="TextebrutCar"/>
    <w:uiPriority w:val="99"/>
    <w:semiHidden/>
    <w:unhideWhenUsed/>
    <w:rsid w:val="00645252"/>
    <w:rPr>
      <w:rFonts w:ascii="Consolas" w:hAnsi="Consolas"/>
      <w:szCs w:val="21"/>
    </w:rPr>
  </w:style>
  <w:style w:type="character" w:customStyle="1" w:styleId="TextebrutCar">
    <w:name w:val="Texte brut Car"/>
    <w:basedOn w:val="Policepardfaut"/>
    <w:link w:val="Textebrut"/>
    <w:uiPriority w:val="99"/>
    <w:semiHidden/>
    <w:rsid w:val="00645252"/>
    <w:rPr>
      <w:rFonts w:ascii="Consolas" w:hAnsi="Consolas"/>
      <w:szCs w:val="21"/>
    </w:rPr>
  </w:style>
  <w:style w:type="character" w:styleId="Textedelespacerserv">
    <w:name w:val="Placeholder Text"/>
    <w:basedOn w:val="Policepardfaut"/>
    <w:uiPriority w:val="99"/>
    <w:semiHidden/>
    <w:rsid w:val="00645252"/>
    <w:rPr>
      <w:color w:val="1E0013" w:themeColor="background2" w:themeShade="40"/>
    </w:rPr>
  </w:style>
  <w:style w:type="paragraph" w:styleId="En-tte">
    <w:name w:val="header"/>
    <w:basedOn w:val="Normal"/>
    <w:link w:val="En-tteCar"/>
    <w:uiPriority w:val="99"/>
    <w:unhideWhenUsed/>
    <w:rsid w:val="006D3D74"/>
  </w:style>
  <w:style w:type="character" w:customStyle="1" w:styleId="En-tteCar">
    <w:name w:val="En-tête Car"/>
    <w:basedOn w:val="Policepardfaut"/>
    <w:link w:val="En-tte"/>
    <w:uiPriority w:val="99"/>
    <w:rsid w:val="006D3D74"/>
  </w:style>
  <w:style w:type="paragraph" w:styleId="Pieddepage">
    <w:name w:val="footer"/>
    <w:basedOn w:val="Normal"/>
    <w:link w:val="PieddepageCar"/>
    <w:uiPriority w:val="99"/>
    <w:unhideWhenUsed/>
    <w:rsid w:val="006D3D74"/>
  </w:style>
  <w:style w:type="character" w:customStyle="1" w:styleId="PieddepageCar">
    <w:name w:val="Pied de page Car"/>
    <w:basedOn w:val="Policepardfaut"/>
    <w:link w:val="Pieddepage"/>
    <w:uiPriority w:val="99"/>
    <w:rsid w:val="006D3D74"/>
  </w:style>
  <w:style w:type="table" w:styleId="Grilledutableau">
    <w:name w:val="Table Grid"/>
    <w:basedOn w:val="Tableau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qFormat/>
    <w:rsid w:val="00D93AA5"/>
    <w:pPr>
      <w:numPr>
        <w:numId w:val="1"/>
      </w:numPr>
      <w:spacing w:after="60"/>
      <w:ind w:left="284" w:hanging="210"/>
    </w:pPr>
  </w:style>
  <w:style w:type="paragraph" w:customStyle="1" w:styleId="bullet2">
    <w:name w:val="bullet 2"/>
    <w:basedOn w:val="Normal"/>
    <w:uiPriority w:val="2"/>
    <w:qFormat/>
    <w:rsid w:val="00B75A71"/>
    <w:pPr>
      <w:numPr>
        <w:ilvl w:val="1"/>
        <w:numId w:val="2"/>
      </w:numPr>
      <w:ind w:left="620" w:hanging="274"/>
      <w:contextualSpacing/>
    </w:pPr>
    <w:rPr>
      <w:sz w:val="18"/>
    </w:rPr>
  </w:style>
  <w:style w:type="paragraph" w:styleId="TM1">
    <w:name w:val="toc 1"/>
    <w:basedOn w:val="Normal"/>
    <w:next w:val="Normal"/>
    <w:autoRedefine/>
    <w:uiPriority w:val="39"/>
    <w:unhideWhenUsed/>
    <w:rsid w:val="00DA09F9"/>
    <w:pPr>
      <w:tabs>
        <w:tab w:val="right" w:leader="underscore" w:pos="9027"/>
      </w:tabs>
      <w:spacing w:after="60"/>
    </w:pPr>
    <w:rPr>
      <w:rFonts w:asciiTheme="majorHAnsi" w:hAnsiTheme="majorHAnsi" w:cstheme="majorHAnsi"/>
      <w:bCs/>
      <w:noProof/>
      <w:color w:val="001432" w:themeColor="text1"/>
      <w:szCs w:val="24"/>
      <w:u w:color="001432" w:themeColor="text1"/>
    </w:rPr>
  </w:style>
  <w:style w:type="paragraph" w:styleId="TM2">
    <w:name w:val="toc 2"/>
    <w:basedOn w:val="Normal"/>
    <w:next w:val="Normal"/>
    <w:autoRedefine/>
    <w:uiPriority w:val="39"/>
    <w:unhideWhenUsed/>
    <w:rsid w:val="00E56020"/>
    <w:pPr>
      <w:tabs>
        <w:tab w:val="right" w:pos="9017"/>
      </w:tabs>
      <w:spacing w:after="60"/>
    </w:pPr>
    <w:rPr>
      <w:rFonts w:cstheme="minorHAnsi"/>
      <w:bCs/>
      <w:noProof/>
      <w:color w:val="62808E" w:themeColor="accent3" w:themeShade="BF"/>
    </w:rPr>
  </w:style>
  <w:style w:type="paragraph" w:styleId="TM3">
    <w:name w:val="toc 3"/>
    <w:basedOn w:val="Normal"/>
    <w:next w:val="Normal"/>
    <w:autoRedefine/>
    <w:uiPriority w:val="39"/>
    <w:unhideWhenUsed/>
    <w:rsid w:val="00E56020"/>
    <w:pPr>
      <w:tabs>
        <w:tab w:val="right" w:pos="9017"/>
      </w:tabs>
      <w:spacing w:after="60"/>
      <w:ind w:left="284"/>
    </w:pPr>
    <w:rPr>
      <w:rFonts w:cstheme="minorHAnsi"/>
      <w:noProof/>
      <w:color w:val="62808E" w:themeColor="accent3" w:themeShade="BF"/>
    </w:rPr>
  </w:style>
  <w:style w:type="paragraph" w:styleId="TM4">
    <w:name w:val="toc 4"/>
    <w:basedOn w:val="Normal"/>
    <w:next w:val="Normal"/>
    <w:autoRedefine/>
    <w:uiPriority w:val="39"/>
    <w:unhideWhenUsed/>
    <w:rsid w:val="00E56020"/>
    <w:pPr>
      <w:tabs>
        <w:tab w:val="right" w:pos="9017"/>
      </w:tabs>
      <w:ind w:left="400"/>
    </w:pPr>
    <w:rPr>
      <w:rFonts w:cstheme="minorHAnsi"/>
      <w:noProof/>
      <w:color w:val="42555F" w:themeColor="accent3" w:themeShade="80"/>
    </w:rPr>
  </w:style>
  <w:style w:type="paragraph" w:styleId="TM5">
    <w:name w:val="toc 5"/>
    <w:basedOn w:val="Normal"/>
    <w:next w:val="Normal"/>
    <w:autoRedefine/>
    <w:uiPriority w:val="39"/>
    <w:unhideWhenUsed/>
    <w:rsid w:val="00921068"/>
    <w:pPr>
      <w:ind w:left="600"/>
    </w:pPr>
    <w:rPr>
      <w:rFonts w:cstheme="minorHAnsi"/>
    </w:rPr>
  </w:style>
  <w:style w:type="paragraph" w:styleId="TM6">
    <w:name w:val="toc 6"/>
    <w:basedOn w:val="Normal"/>
    <w:next w:val="Normal"/>
    <w:autoRedefine/>
    <w:uiPriority w:val="39"/>
    <w:unhideWhenUsed/>
    <w:rsid w:val="00921068"/>
    <w:pPr>
      <w:ind w:left="800"/>
    </w:pPr>
    <w:rPr>
      <w:rFonts w:cstheme="minorHAnsi"/>
    </w:rPr>
  </w:style>
  <w:style w:type="paragraph" w:styleId="TM7">
    <w:name w:val="toc 7"/>
    <w:basedOn w:val="Normal"/>
    <w:next w:val="Normal"/>
    <w:autoRedefine/>
    <w:uiPriority w:val="39"/>
    <w:unhideWhenUsed/>
    <w:rsid w:val="00921068"/>
    <w:pPr>
      <w:ind w:left="1000"/>
    </w:pPr>
    <w:rPr>
      <w:rFonts w:cstheme="minorHAnsi"/>
    </w:rPr>
  </w:style>
  <w:style w:type="paragraph" w:styleId="TM8">
    <w:name w:val="toc 8"/>
    <w:basedOn w:val="Normal"/>
    <w:next w:val="Normal"/>
    <w:autoRedefine/>
    <w:uiPriority w:val="39"/>
    <w:unhideWhenUsed/>
    <w:rsid w:val="00921068"/>
    <w:pPr>
      <w:ind w:left="1200"/>
    </w:pPr>
    <w:rPr>
      <w:rFonts w:cstheme="minorHAnsi"/>
    </w:rPr>
  </w:style>
  <w:style w:type="paragraph" w:styleId="TM9">
    <w:name w:val="toc 9"/>
    <w:basedOn w:val="Normal"/>
    <w:next w:val="Normal"/>
    <w:autoRedefine/>
    <w:uiPriority w:val="39"/>
    <w:unhideWhenUsed/>
    <w:rsid w:val="00921068"/>
    <w:pPr>
      <w:ind w:left="1400"/>
    </w:pPr>
    <w:rPr>
      <w:rFonts w:cstheme="minorHAnsi"/>
    </w:rPr>
  </w:style>
  <w:style w:type="paragraph" w:styleId="NormalWeb">
    <w:name w:val="Normal (Web)"/>
    <w:basedOn w:val="Normal"/>
    <w:uiPriority w:val="99"/>
    <w:semiHidden/>
    <w:unhideWhenUsed/>
    <w:rsid w:val="00985ECC"/>
    <w:pPr>
      <w:spacing w:before="100" w:beforeAutospacing="1" w:after="100" w:afterAutospacing="1"/>
    </w:pPr>
    <w:rPr>
      <w:rFonts w:ascii="Times New Roman" w:eastAsiaTheme="minorEastAsia" w:hAnsi="Times New Roman" w:cs="Times New Roman"/>
      <w:sz w:val="24"/>
      <w:szCs w:val="24"/>
    </w:rPr>
  </w:style>
  <w:style w:type="character" w:customStyle="1" w:styleId="gmail-s1">
    <w:name w:val="gmail-s1"/>
    <w:basedOn w:val="Policepardfaut"/>
    <w:rsid w:val="00ED3F82"/>
  </w:style>
  <w:style w:type="character" w:customStyle="1" w:styleId="apple-converted-space">
    <w:name w:val="apple-converted-space"/>
    <w:basedOn w:val="Policepardfaut"/>
    <w:rsid w:val="00EA6A48"/>
  </w:style>
  <w:style w:type="paragraph" w:styleId="Sous-titre">
    <w:name w:val="Subtitle"/>
    <w:basedOn w:val="Normal"/>
    <w:next w:val="Normal"/>
    <w:link w:val="Sous-titreCar"/>
    <w:uiPriority w:val="11"/>
    <w:rsid w:val="00753D09"/>
    <w:pPr>
      <w:numPr>
        <w:ilvl w:val="1"/>
      </w:numPr>
      <w:spacing w:after="160"/>
    </w:pPr>
    <w:rPr>
      <w:rFonts w:asciiTheme="majorHAnsi" w:eastAsiaTheme="minorEastAsia" w:hAnsiTheme="majorHAnsi" w:cstheme="majorHAnsi"/>
      <w:color w:val="1ED7D7" w:themeColor="accent2"/>
      <w:spacing w:val="15"/>
      <w:sz w:val="44"/>
    </w:rPr>
  </w:style>
  <w:style w:type="character" w:customStyle="1" w:styleId="Sous-titreCar">
    <w:name w:val="Sous-titre Car"/>
    <w:basedOn w:val="Policepardfaut"/>
    <w:link w:val="Sous-titr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Titre1"/>
    <w:link w:val="QusetionPageChar"/>
    <w:uiPriority w:val="13"/>
    <w:qFormat/>
    <w:rsid w:val="003F5F64"/>
    <w:pPr>
      <w:tabs>
        <w:tab w:val="left" w:pos="7371"/>
      </w:tabs>
    </w:pPr>
  </w:style>
  <w:style w:type="table" w:styleId="Grilledetableauclaire">
    <w:name w:val="Grid Table Light"/>
    <w:basedOn w:val="Tableau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Titre1C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ys">
    <w:name w:val="Biographys"/>
    <w:basedOn w:val="Normal"/>
    <w:link w:val="BiographysChar"/>
    <w:uiPriority w:val="13"/>
    <w:qFormat/>
    <w:rsid w:val="00FD486B"/>
    <w:rPr>
      <w:color w:val="7962CE" w:themeColor="accent1"/>
      <w:sz w:val="24"/>
    </w:rPr>
  </w:style>
  <w:style w:type="paragraph" w:styleId="En-ttedetabledesmatires">
    <w:name w:val="TOC Heading"/>
    <w:basedOn w:val="Titre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ysChar">
    <w:name w:val="Biographys Char"/>
    <w:basedOn w:val="Titre3Car"/>
    <w:link w:val="Biographys"/>
    <w:uiPriority w:val="13"/>
    <w:rsid w:val="00FD486B"/>
    <w:rPr>
      <w:rFonts w:asciiTheme="majorHAnsi" w:eastAsiaTheme="majorEastAsia" w:hAnsiTheme="majorHAnsi" w:cstheme="majorBidi"/>
      <w:noProof/>
      <w:color w:val="7962CE" w:themeColor="accent1"/>
      <w:sz w:val="24"/>
      <w:szCs w:val="32"/>
      <w:lang w:val="en-GB"/>
    </w:rPr>
  </w:style>
  <w:style w:type="table" w:styleId="Tableausimple2">
    <w:name w:val="Plain Table 2"/>
    <w:basedOn w:val="Tableau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Titre3"/>
    <w:link w:val="CasestudytitlesChar"/>
    <w:uiPriority w:val="14"/>
    <w:qFormat/>
    <w:rsid w:val="00825F31"/>
    <w:pPr>
      <w:pBdr>
        <w:top w:val="single" w:sz="4" w:space="1" w:color="90A7B2" w:themeColor="accent3"/>
      </w:pBdr>
    </w:pPr>
  </w:style>
  <w:style w:type="character" w:customStyle="1" w:styleId="CasestudytitlesChar">
    <w:name w:val="Case study titles Char"/>
    <w:basedOn w:val="Titre3C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Paragraphedeliste">
    <w:name w:val="List Paragraph"/>
    <w:aliases w:val="Numbered List"/>
    <w:basedOn w:val="Normal"/>
    <w:uiPriority w:val="34"/>
    <w:unhideWhenUsed/>
    <w:qFormat/>
    <w:rsid w:val="00C20129"/>
    <w:pPr>
      <w:numPr>
        <w:numId w:val="3"/>
      </w:numPr>
      <w:tabs>
        <w:tab w:val="left" w:pos="252"/>
      </w:tabs>
      <w:contextualSpacing/>
    </w:pPr>
  </w:style>
  <w:style w:type="paragraph" w:styleId="Sansinterligne">
    <w:name w:val="No Spacing"/>
    <w:basedOn w:val="Normal"/>
    <w:link w:val="SansinterligneCar"/>
    <w:uiPriority w:val="1"/>
    <w:qFormat/>
    <w:rsid w:val="002F2072"/>
    <w:pPr>
      <w:spacing w:after="0"/>
    </w:pPr>
  </w:style>
  <w:style w:type="character" w:customStyle="1" w:styleId="SansinterligneCar">
    <w:name w:val="Sans interligne Car"/>
    <w:basedOn w:val="Policepardfaut"/>
    <w:link w:val="Sansinterligne"/>
    <w:uiPriority w:val="25"/>
    <w:rsid w:val="00902929"/>
    <w:rPr>
      <w:sz w:val="20"/>
      <w:lang w:val="en-GB"/>
    </w:rPr>
  </w:style>
  <w:style w:type="paragraph" w:customStyle="1" w:styleId="rightalign">
    <w:name w:val="right align"/>
    <w:basedOn w:val="Pieddepage"/>
    <w:link w:val="rightalignChar"/>
    <w:rsid w:val="00902929"/>
    <w:pPr>
      <w:jc w:val="right"/>
    </w:pPr>
    <w:rPr>
      <w:sz w:val="14"/>
      <w:szCs w:val="14"/>
    </w:rPr>
  </w:style>
  <w:style w:type="character" w:customStyle="1" w:styleId="rightalignChar">
    <w:name w:val="right align Char"/>
    <w:basedOn w:val="PieddepageCar"/>
    <w:link w:val="rightalign"/>
    <w:rsid w:val="00902929"/>
    <w:rPr>
      <w:sz w:val="14"/>
      <w:szCs w:val="14"/>
    </w:rPr>
  </w:style>
  <w:style w:type="character" w:customStyle="1" w:styleId="Mentionnonrsolue1">
    <w:name w:val="Mention non résolue1"/>
    <w:basedOn w:val="Policepardfaut"/>
    <w:uiPriority w:val="99"/>
    <w:semiHidden/>
    <w:unhideWhenUsed/>
    <w:rsid w:val="00915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37056">
      <w:bodyDiv w:val="1"/>
      <w:marLeft w:val="0"/>
      <w:marRight w:val="0"/>
      <w:marTop w:val="0"/>
      <w:marBottom w:val="0"/>
      <w:divBdr>
        <w:top w:val="none" w:sz="0" w:space="0" w:color="auto"/>
        <w:left w:val="none" w:sz="0" w:space="0" w:color="auto"/>
        <w:bottom w:val="none" w:sz="0" w:space="0" w:color="auto"/>
        <w:right w:val="none" w:sz="0" w:space="0" w:color="auto"/>
      </w:divBdr>
    </w:div>
    <w:div w:id="326444896">
      <w:bodyDiv w:val="1"/>
      <w:marLeft w:val="0"/>
      <w:marRight w:val="0"/>
      <w:marTop w:val="0"/>
      <w:marBottom w:val="0"/>
      <w:divBdr>
        <w:top w:val="none" w:sz="0" w:space="0" w:color="auto"/>
        <w:left w:val="none" w:sz="0" w:space="0" w:color="auto"/>
        <w:bottom w:val="none" w:sz="0" w:space="0" w:color="auto"/>
        <w:right w:val="none" w:sz="0" w:space="0" w:color="auto"/>
      </w:divBdr>
    </w:div>
    <w:div w:id="350566660">
      <w:bodyDiv w:val="1"/>
      <w:marLeft w:val="0"/>
      <w:marRight w:val="0"/>
      <w:marTop w:val="0"/>
      <w:marBottom w:val="0"/>
      <w:divBdr>
        <w:top w:val="none" w:sz="0" w:space="0" w:color="auto"/>
        <w:left w:val="none" w:sz="0" w:space="0" w:color="auto"/>
        <w:bottom w:val="none" w:sz="0" w:space="0" w:color="auto"/>
        <w:right w:val="none" w:sz="0" w:space="0" w:color="auto"/>
      </w:divBdr>
    </w:div>
    <w:div w:id="400296096">
      <w:bodyDiv w:val="1"/>
      <w:marLeft w:val="0"/>
      <w:marRight w:val="0"/>
      <w:marTop w:val="0"/>
      <w:marBottom w:val="0"/>
      <w:divBdr>
        <w:top w:val="none" w:sz="0" w:space="0" w:color="auto"/>
        <w:left w:val="none" w:sz="0" w:space="0" w:color="auto"/>
        <w:bottom w:val="none" w:sz="0" w:space="0" w:color="auto"/>
        <w:right w:val="none" w:sz="0" w:space="0" w:color="auto"/>
      </w:divBdr>
    </w:div>
    <w:div w:id="629046107">
      <w:bodyDiv w:val="1"/>
      <w:marLeft w:val="0"/>
      <w:marRight w:val="0"/>
      <w:marTop w:val="0"/>
      <w:marBottom w:val="0"/>
      <w:divBdr>
        <w:top w:val="none" w:sz="0" w:space="0" w:color="auto"/>
        <w:left w:val="none" w:sz="0" w:space="0" w:color="auto"/>
        <w:bottom w:val="none" w:sz="0" w:space="0" w:color="auto"/>
        <w:right w:val="none" w:sz="0" w:space="0" w:color="auto"/>
      </w:divBdr>
    </w:div>
    <w:div w:id="852765435">
      <w:bodyDiv w:val="1"/>
      <w:marLeft w:val="0"/>
      <w:marRight w:val="0"/>
      <w:marTop w:val="0"/>
      <w:marBottom w:val="0"/>
      <w:divBdr>
        <w:top w:val="none" w:sz="0" w:space="0" w:color="auto"/>
        <w:left w:val="none" w:sz="0" w:space="0" w:color="auto"/>
        <w:bottom w:val="none" w:sz="0" w:space="0" w:color="auto"/>
        <w:right w:val="none" w:sz="0" w:space="0" w:color="auto"/>
      </w:divBdr>
    </w:div>
    <w:div w:id="944070491">
      <w:bodyDiv w:val="1"/>
      <w:marLeft w:val="0"/>
      <w:marRight w:val="0"/>
      <w:marTop w:val="0"/>
      <w:marBottom w:val="0"/>
      <w:divBdr>
        <w:top w:val="none" w:sz="0" w:space="0" w:color="auto"/>
        <w:left w:val="none" w:sz="0" w:space="0" w:color="auto"/>
        <w:bottom w:val="none" w:sz="0" w:space="0" w:color="auto"/>
        <w:right w:val="none" w:sz="0" w:space="0" w:color="auto"/>
      </w:divBdr>
    </w:div>
    <w:div w:id="958683364">
      <w:bodyDiv w:val="1"/>
      <w:marLeft w:val="0"/>
      <w:marRight w:val="0"/>
      <w:marTop w:val="0"/>
      <w:marBottom w:val="0"/>
      <w:divBdr>
        <w:top w:val="none" w:sz="0" w:space="0" w:color="auto"/>
        <w:left w:val="none" w:sz="0" w:space="0" w:color="auto"/>
        <w:bottom w:val="none" w:sz="0" w:space="0" w:color="auto"/>
        <w:right w:val="none" w:sz="0" w:space="0" w:color="auto"/>
      </w:divBdr>
    </w:div>
    <w:div w:id="1000304721">
      <w:bodyDiv w:val="1"/>
      <w:marLeft w:val="0"/>
      <w:marRight w:val="0"/>
      <w:marTop w:val="0"/>
      <w:marBottom w:val="0"/>
      <w:divBdr>
        <w:top w:val="none" w:sz="0" w:space="0" w:color="auto"/>
        <w:left w:val="none" w:sz="0" w:space="0" w:color="auto"/>
        <w:bottom w:val="none" w:sz="0" w:space="0" w:color="auto"/>
        <w:right w:val="none" w:sz="0" w:space="0" w:color="auto"/>
      </w:divBdr>
    </w:div>
    <w:div w:id="1122845224">
      <w:bodyDiv w:val="1"/>
      <w:marLeft w:val="0"/>
      <w:marRight w:val="0"/>
      <w:marTop w:val="0"/>
      <w:marBottom w:val="0"/>
      <w:divBdr>
        <w:top w:val="none" w:sz="0" w:space="0" w:color="auto"/>
        <w:left w:val="none" w:sz="0" w:space="0" w:color="auto"/>
        <w:bottom w:val="none" w:sz="0" w:space="0" w:color="auto"/>
        <w:right w:val="none" w:sz="0" w:space="0" w:color="auto"/>
      </w:divBdr>
      <w:divsChild>
        <w:div w:id="1126967574">
          <w:marLeft w:val="274"/>
          <w:marRight w:val="0"/>
          <w:marTop w:val="0"/>
          <w:marBottom w:val="0"/>
          <w:divBdr>
            <w:top w:val="none" w:sz="0" w:space="0" w:color="auto"/>
            <w:left w:val="none" w:sz="0" w:space="0" w:color="auto"/>
            <w:bottom w:val="none" w:sz="0" w:space="0" w:color="auto"/>
            <w:right w:val="none" w:sz="0" w:space="0" w:color="auto"/>
          </w:divBdr>
        </w:div>
        <w:div w:id="1855025003">
          <w:marLeft w:val="274"/>
          <w:marRight w:val="0"/>
          <w:marTop w:val="0"/>
          <w:marBottom w:val="0"/>
          <w:divBdr>
            <w:top w:val="none" w:sz="0" w:space="0" w:color="auto"/>
            <w:left w:val="none" w:sz="0" w:space="0" w:color="auto"/>
            <w:bottom w:val="none" w:sz="0" w:space="0" w:color="auto"/>
            <w:right w:val="none" w:sz="0" w:space="0" w:color="auto"/>
          </w:divBdr>
        </w:div>
        <w:div w:id="1359623168">
          <w:marLeft w:val="274"/>
          <w:marRight w:val="0"/>
          <w:marTop w:val="0"/>
          <w:marBottom w:val="0"/>
          <w:divBdr>
            <w:top w:val="none" w:sz="0" w:space="0" w:color="auto"/>
            <w:left w:val="none" w:sz="0" w:space="0" w:color="auto"/>
            <w:bottom w:val="none" w:sz="0" w:space="0" w:color="auto"/>
            <w:right w:val="none" w:sz="0" w:space="0" w:color="auto"/>
          </w:divBdr>
        </w:div>
        <w:div w:id="87390978">
          <w:marLeft w:val="274"/>
          <w:marRight w:val="0"/>
          <w:marTop w:val="0"/>
          <w:marBottom w:val="0"/>
          <w:divBdr>
            <w:top w:val="none" w:sz="0" w:space="0" w:color="auto"/>
            <w:left w:val="none" w:sz="0" w:space="0" w:color="auto"/>
            <w:bottom w:val="none" w:sz="0" w:space="0" w:color="auto"/>
            <w:right w:val="none" w:sz="0" w:space="0" w:color="auto"/>
          </w:divBdr>
        </w:div>
        <w:div w:id="986126267">
          <w:marLeft w:val="274"/>
          <w:marRight w:val="0"/>
          <w:marTop w:val="0"/>
          <w:marBottom w:val="0"/>
          <w:divBdr>
            <w:top w:val="none" w:sz="0" w:space="0" w:color="auto"/>
            <w:left w:val="none" w:sz="0" w:space="0" w:color="auto"/>
            <w:bottom w:val="none" w:sz="0" w:space="0" w:color="auto"/>
            <w:right w:val="none" w:sz="0" w:space="0" w:color="auto"/>
          </w:divBdr>
        </w:div>
        <w:div w:id="582419847">
          <w:marLeft w:val="245"/>
          <w:marRight w:val="0"/>
          <w:marTop w:val="0"/>
          <w:marBottom w:val="0"/>
          <w:divBdr>
            <w:top w:val="none" w:sz="0" w:space="0" w:color="auto"/>
            <w:left w:val="none" w:sz="0" w:space="0" w:color="auto"/>
            <w:bottom w:val="none" w:sz="0" w:space="0" w:color="auto"/>
            <w:right w:val="none" w:sz="0" w:space="0" w:color="auto"/>
          </w:divBdr>
        </w:div>
        <w:div w:id="1191797558">
          <w:marLeft w:val="274"/>
          <w:marRight w:val="0"/>
          <w:marTop w:val="0"/>
          <w:marBottom w:val="0"/>
          <w:divBdr>
            <w:top w:val="none" w:sz="0" w:space="0" w:color="auto"/>
            <w:left w:val="none" w:sz="0" w:space="0" w:color="auto"/>
            <w:bottom w:val="none" w:sz="0" w:space="0" w:color="auto"/>
            <w:right w:val="none" w:sz="0" w:space="0" w:color="auto"/>
          </w:divBdr>
        </w:div>
        <w:div w:id="290133922">
          <w:marLeft w:val="274"/>
          <w:marRight w:val="0"/>
          <w:marTop w:val="0"/>
          <w:marBottom w:val="0"/>
          <w:divBdr>
            <w:top w:val="none" w:sz="0" w:space="0" w:color="auto"/>
            <w:left w:val="none" w:sz="0" w:space="0" w:color="auto"/>
            <w:bottom w:val="none" w:sz="0" w:space="0" w:color="auto"/>
            <w:right w:val="none" w:sz="0" w:space="0" w:color="auto"/>
          </w:divBdr>
        </w:div>
        <w:div w:id="1120688287">
          <w:marLeft w:val="274"/>
          <w:marRight w:val="0"/>
          <w:marTop w:val="0"/>
          <w:marBottom w:val="0"/>
          <w:divBdr>
            <w:top w:val="none" w:sz="0" w:space="0" w:color="auto"/>
            <w:left w:val="none" w:sz="0" w:space="0" w:color="auto"/>
            <w:bottom w:val="none" w:sz="0" w:space="0" w:color="auto"/>
            <w:right w:val="none" w:sz="0" w:space="0" w:color="auto"/>
          </w:divBdr>
        </w:div>
        <w:div w:id="1870217057">
          <w:marLeft w:val="274"/>
          <w:marRight w:val="0"/>
          <w:marTop w:val="0"/>
          <w:marBottom w:val="0"/>
          <w:divBdr>
            <w:top w:val="none" w:sz="0" w:space="0" w:color="auto"/>
            <w:left w:val="none" w:sz="0" w:space="0" w:color="auto"/>
            <w:bottom w:val="none" w:sz="0" w:space="0" w:color="auto"/>
            <w:right w:val="none" w:sz="0" w:space="0" w:color="auto"/>
          </w:divBdr>
        </w:div>
        <w:div w:id="490292625">
          <w:marLeft w:val="274"/>
          <w:marRight w:val="0"/>
          <w:marTop w:val="0"/>
          <w:marBottom w:val="0"/>
          <w:divBdr>
            <w:top w:val="none" w:sz="0" w:space="0" w:color="auto"/>
            <w:left w:val="none" w:sz="0" w:space="0" w:color="auto"/>
            <w:bottom w:val="none" w:sz="0" w:space="0" w:color="auto"/>
            <w:right w:val="none" w:sz="0" w:space="0" w:color="auto"/>
          </w:divBdr>
        </w:div>
        <w:div w:id="344553411">
          <w:marLeft w:val="274"/>
          <w:marRight w:val="0"/>
          <w:marTop w:val="0"/>
          <w:marBottom w:val="0"/>
          <w:divBdr>
            <w:top w:val="none" w:sz="0" w:space="0" w:color="auto"/>
            <w:left w:val="none" w:sz="0" w:space="0" w:color="auto"/>
            <w:bottom w:val="none" w:sz="0" w:space="0" w:color="auto"/>
            <w:right w:val="none" w:sz="0" w:space="0" w:color="auto"/>
          </w:divBdr>
        </w:div>
        <w:div w:id="1872761324">
          <w:marLeft w:val="274"/>
          <w:marRight w:val="0"/>
          <w:marTop w:val="0"/>
          <w:marBottom w:val="0"/>
          <w:divBdr>
            <w:top w:val="none" w:sz="0" w:space="0" w:color="auto"/>
            <w:left w:val="none" w:sz="0" w:space="0" w:color="auto"/>
            <w:bottom w:val="none" w:sz="0" w:space="0" w:color="auto"/>
            <w:right w:val="none" w:sz="0" w:space="0" w:color="auto"/>
          </w:divBdr>
        </w:div>
        <w:div w:id="298996906">
          <w:marLeft w:val="274"/>
          <w:marRight w:val="0"/>
          <w:marTop w:val="0"/>
          <w:marBottom w:val="0"/>
          <w:divBdr>
            <w:top w:val="none" w:sz="0" w:space="0" w:color="auto"/>
            <w:left w:val="none" w:sz="0" w:space="0" w:color="auto"/>
            <w:bottom w:val="none" w:sz="0" w:space="0" w:color="auto"/>
            <w:right w:val="none" w:sz="0" w:space="0" w:color="auto"/>
          </w:divBdr>
        </w:div>
        <w:div w:id="185799622">
          <w:marLeft w:val="274"/>
          <w:marRight w:val="0"/>
          <w:marTop w:val="0"/>
          <w:marBottom w:val="0"/>
          <w:divBdr>
            <w:top w:val="none" w:sz="0" w:space="0" w:color="auto"/>
            <w:left w:val="none" w:sz="0" w:space="0" w:color="auto"/>
            <w:bottom w:val="none" w:sz="0" w:space="0" w:color="auto"/>
            <w:right w:val="none" w:sz="0" w:space="0" w:color="auto"/>
          </w:divBdr>
        </w:div>
        <w:div w:id="1734767532">
          <w:marLeft w:val="274"/>
          <w:marRight w:val="0"/>
          <w:marTop w:val="0"/>
          <w:marBottom w:val="0"/>
          <w:divBdr>
            <w:top w:val="none" w:sz="0" w:space="0" w:color="auto"/>
            <w:left w:val="none" w:sz="0" w:space="0" w:color="auto"/>
            <w:bottom w:val="none" w:sz="0" w:space="0" w:color="auto"/>
            <w:right w:val="none" w:sz="0" w:space="0" w:color="auto"/>
          </w:divBdr>
        </w:div>
        <w:div w:id="1041202474">
          <w:marLeft w:val="274"/>
          <w:marRight w:val="0"/>
          <w:marTop w:val="0"/>
          <w:marBottom w:val="0"/>
          <w:divBdr>
            <w:top w:val="none" w:sz="0" w:space="0" w:color="auto"/>
            <w:left w:val="none" w:sz="0" w:space="0" w:color="auto"/>
            <w:bottom w:val="none" w:sz="0" w:space="0" w:color="auto"/>
            <w:right w:val="none" w:sz="0" w:space="0" w:color="auto"/>
          </w:divBdr>
        </w:div>
        <w:div w:id="1001588984">
          <w:marLeft w:val="274"/>
          <w:marRight w:val="0"/>
          <w:marTop w:val="0"/>
          <w:marBottom w:val="0"/>
          <w:divBdr>
            <w:top w:val="none" w:sz="0" w:space="0" w:color="auto"/>
            <w:left w:val="none" w:sz="0" w:space="0" w:color="auto"/>
            <w:bottom w:val="none" w:sz="0" w:space="0" w:color="auto"/>
            <w:right w:val="none" w:sz="0" w:space="0" w:color="auto"/>
          </w:divBdr>
        </w:div>
      </w:divsChild>
    </w:div>
    <w:div w:id="1138454180">
      <w:bodyDiv w:val="1"/>
      <w:marLeft w:val="0"/>
      <w:marRight w:val="0"/>
      <w:marTop w:val="0"/>
      <w:marBottom w:val="0"/>
      <w:divBdr>
        <w:top w:val="none" w:sz="0" w:space="0" w:color="auto"/>
        <w:left w:val="none" w:sz="0" w:space="0" w:color="auto"/>
        <w:bottom w:val="none" w:sz="0" w:space="0" w:color="auto"/>
        <w:right w:val="none" w:sz="0" w:space="0" w:color="auto"/>
      </w:divBdr>
    </w:div>
    <w:div w:id="1476488193">
      <w:bodyDiv w:val="1"/>
      <w:marLeft w:val="0"/>
      <w:marRight w:val="0"/>
      <w:marTop w:val="0"/>
      <w:marBottom w:val="0"/>
      <w:divBdr>
        <w:top w:val="none" w:sz="0" w:space="0" w:color="auto"/>
        <w:left w:val="none" w:sz="0" w:space="0" w:color="auto"/>
        <w:bottom w:val="none" w:sz="0" w:space="0" w:color="auto"/>
        <w:right w:val="none" w:sz="0" w:space="0" w:color="auto"/>
      </w:divBdr>
    </w:div>
    <w:div w:id="1500198425">
      <w:bodyDiv w:val="1"/>
      <w:marLeft w:val="0"/>
      <w:marRight w:val="0"/>
      <w:marTop w:val="0"/>
      <w:marBottom w:val="0"/>
      <w:divBdr>
        <w:top w:val="none" w:sz="0" w:space="0" w:color="auto"/>
        <w:left w:val="none" w:sz="0" w:space="0" w:color="auto"/>
        <w:bottom w:val="none" w:sz="0" w:space="0" w:color="auto"/>
        <w:right w:val="none" w:sz="0" w:space="0" w:color="auto"/>
      </w:divBdr>
    </w:div>
    <w:div w:id="1511721328">
      <w:bodyDiv w:val="1"/>
      <w:marLeft w:val="0"/>
      <w:marRight w:val="0"/>
      <w:marTop w:val="0"/>
      <w:marBottom w:val="0"/>
      <w:divBdr>
        <w:top w:val="none" w:sz="0" w:space="0" w:color="auto"/>
        <w:left w:val="none" w:sz="0" w:space="0" w:color="auto"/>
        <w:bottom w:val="none" w:sz="0" w:space="0" w:color="auto"/>
        <w:right w:val="none" w:sz="0" w:space="0" w:color="auto"/>
      </w:divBdr>
    </w:div>
    <w:div w:id="1513455328">
      <w:bodyDiv w:val="1"/>
      <w:marLeft w:val="0"/>
      <w:marRight w:val="0"/>
      <w:marTop w:val="0"/>
      <w:marBottom w:val="0"/>
      <w:divBdr>
        <w:top w:val="none" w:sz="0" w:space="0" w:color="auto"/>
        <w:left w:val="none" w:sz="0" w:space="0" w:color="auto"/>
        <w:bottom w:val="none" w:sz="0" w:space="0" w:color="auto"/>
        <w:right w:val="none" w:sz="0" w:space="0" w:color="auto"/>
      </w:divBdr>
      <w:divsChild>
        <w:div w:id="1399982703">
          <w:marLeft w:val="446"/>
          <w:marRight w:val="0"/>
          <w:marTop w:val="240"/>
          <w:marBottom w:val="0"/>
          <w:divBdr>
            <w:top w:val="none" w:sz="0" w:space="0" w:color="auto"/>
            <w:left w:val="none" w:sz="0" w:space="0" w:color="auto"/>
            <w:bottom w:val="none" w:sz="0" w:space="0" w:color="auto"/>
            <w:right w:val="none" w:sz="0" w:space="0" w:color="auto"/>
          </w:divBdr>
        </w:div>
      </w:divsChild>
    </w:div>
    <w:div w:id="1527132714">
      <w:bodyDiv w:val="1"/>
      <w:marLeft w:val="0"/>
      <w:marRight w:val="0"/>
      <w:marTop w:val="0"/>
      <w:marBottom w:val="0"/>
      <w:divBdr>
        <w:top w:val="none" w:sz="0" w:space="0" w:color="auto"/>
        <w:left w:val="none" w:sz="0" w:space="0" w:color="auto"/>
        <w:bottom w:val="none" w:sz="0" w:space="0" w:color="auto"/>
        <w:right w:val="none" w:sz="0" w:space="0" w:color="auto"/>
      </w:divBdr>
    </w:div>
    <w:div w:id="1654525032">
      <w:bodyDiv w:val="1"/>
      <w:marLeft w:val="0"/>
      <w:marRight w:val="0"/>
      <w:marTop w:val="0"/>
      <w:marBottom w:val="0"/>
      <w:divBdr>
        <w:top w:val="none" w:sz="0" w:space="0" w:color="auto"/>
        <w:left w:val="none" w:sz="0" w:space="0" w:color="auto"/>
        <w:bottom w:val="none" w:sz="0" w:space="0" w:color="auto"/>
        <w:right w:val="none" w:sz="0" w:space="0" w:color="auto"/>
      </w:divBdr>
    </w:div>
    <w:div w:id="1714378117">
      <w:bodyDiv w:val="1"/>
      <w:marLeft w:val="0"/>
      <w:marRight w:val="0"/>
      <w:marTop w:val="0"/>
      <w:marBottom w:val="0"/>
      <w:divBdr>
        <w:top w:val="none" w:sz="0" w:space="0" w:color="auto"/>
        <w:left w:val="none" w:sz="0" w:space="0" w:color="auto"/>
        <w:bottom w:val="none" w:sz="0" w:space="0" w:color="auto"/>
        <w:right w:val="none" w:sz="0" w:space="0" w:color="auto"/>
      </w:divBdr>
    </w:div>
    <w:div w:id="1766531110">
      <w:bodyDiv w:val="1"/>
      <w:marLeft w:val="0"/>
      <w:marRight w:val="0"/>
      <w:marTop w:val="0"/>
      <w:marBottom w:val="0"/>
      <w:divBdr>
        <w:top w:val="none" w:sz="0" w:space="0" w:color="auto"/>
        <w:left w:val="none" w:sz="0" w:space="0" w:color="auto"/>
        <w:bottom w:val="none" w:sz="0" w:space="0" w:color="auto"/>
        <w:right w:val="none" w:sz="0" w:space="0" w:color="auto"/>
      </w:divBdr>
    </w:div>
    <w:div w:id="1864897678">
      <w:bodyDiv w:val="1"/>
      <w:marLeft w:val="0"/>
      <w:marRight w:val="0"/>
      <w:marTop w:val="0"/>
      <w:marBottom w:val="0"/>
      <w:divBdr>
        <w:top w:val="none" w:sz="0" w:space="0" w:color="auto"/>
        <w:left w:val="none" w:sz="0" w:space="0" w:color="auto"/>
        <w:bottom w:val="none" w:sz="0" w:space="0" w:color="auto"/>
        <w:right w:val="none" w:sz="0" w:space="0" w:color="auto"/>
      </w:divBdr>
    </w:div>
    <w:div w:id="1935044191">
      <w:bodyDiv w:val="1"/>
      <w:marLeft w:val="0"/>
      <w:marRight w:val="0"/>
      <w:marTop w:val="0"/>
      <w:marBottom w:val="0"/>
      <w:divBdr>
        <w:top w:val="none" w:sz="0" w:space="0" w:color="auto"/>
        <w:left w:val="none" w:sz="0" w:space="0" w:color="auto"/>
        <w:bottom w:val="none" w:sz="0" w:space="0" w:color="auto"/>
        <w:right w:val="none" w:sz="0" w:space="0" w:color="auto"/>
      </w:divBdr>
    </w:div>
    <w:div w:id="1954090329">
      <w:bodyDiv w:val="1"/>
      <w:marLeft w:val="0"/>
      <w:marRight w:val="0"/>
      <w:marTop w:val="0"/>
      <w:marBottom w:val="0"/>
      <w:divBdr>
        <w:top w:val="none" w:sz="0" w:space="0" w:color="auto"/>
        <w:left w:val="none" w:sz="0" w:space="0" w:color="auto"/>
        <w:bottom w:val="none" w:sz="0" w:space="0" w:color="auto"/>
        <w:right w:val="none" w:sz="0" w:space="0" w:color="auto"/>
      </w:divBdr>
    </w:div>
    <w:div w:id="199560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usee-moyenage.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cid:image001.jpg@01D53A37.82A39AB0" TargetMode="External"/><Relationship Id="rId1" Type="http://schemas.openxmlformats.org/officeDocument/2006/relationships/image" Target="media/image3.jpe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4873beb7-5857-4685-be1f-d57550cc96cc"/>
    <ds:schemaRef ds:uri="http://www.w3.org/XML/1998/namespace"/>
  </ds:schemaRefs>
</ds:datastoreItem>
</file>

<file path=customXml/itemProps4.xml><?xml version="1.0" encoding="utf-8"?>
<ds:datastoreItem xmlns:ds="http://schemas.openxmlformats.org/officeDocument/2006/customXml" ds:itemID="{B0421C02-D561-41FA-8535-6BC3711B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3138</Words>
  <Characters>17260</Characters>
  <Application>Microsoft Office Word</Application>
  <DocSecurity>4</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Kanne</dc:creator>
  <cp:keywords/>
  <dc:description/>
  <cp:lastModifiedBy>DAMOISEAU Aline</cp:lastModifiedBy>
  <cp:revision>2</cp:revision>
  <cp:lastPrinted>2020-01-05T13:29:00Z</cp:lastPrinted>
  <dcterms:created xsi:type="dcterms:W3CDTF">2020-02-17T15:32:00Z</dcterms:created>
  <dcterms:modified xsi:type="dcterms:W3CDTF">2020-02-17T15:32:00Z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